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30" w:rsidRPr="00AC3330" w:rsidRDefault="00165FD7" w:rsidP="00AC3330">
      <w:pPr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  <w:r w:rsidR="00185C29">
        <w:rPr>
          <w:rFonts w:eastAsia="Times New Roman"/>
          <w:lang w:eastAsia="pl-PL"/>
        </w:rPr>
        <w:t>Sławków, 11</w:t>
      </w:r>
      <w:r w:rsidR="00833C9A">
        <w:rPr>
          <w:rFonts w:eastAsia="Times New Roman"/>
          <w:lang w:eastAsia="pl-PL"/>
        </w:rPr>
        <w:t>.06</w:t>
      </w:r>
      <w:r w:rsidR="00AC3330" w:rsidRPr="00AC3330">
        <w:rPr>
          <w:rFonts w:eastAsia="Times New Roman"/>
          <w:lang w:eastAsia="pl-PL"/>
        </w:rPr>
        <w:t>.2018r.</w:t>
      </w:r>
    </w:p>
    <w:p w:rsidR="00AC3330" w:rsidRPr="00AC3330" w:rsidRDefault="00AC3330" w:rsidP="00AC3330">
      <w:pPr>
        <w:rPr>
          <w:rFonts w:eastAsia="Times New Roman"/>
          <w:color w:val="C00000"/>
          <w:lang w:eastAsia="pl-PL"/>
        </w:rPr>
      </w:pPr>
    </w:p>
    <w:p w:rsidR="00AC3330" w:rsidRPr="00AC3330" w:rsidRDefault="00AC3330" w:rsidP="00AC3330">
      <w:pPr>
        <w:jc w:val="center"/>
        <w:outlineLvl w:val="0"/>
        <w:rPr>
          <w:rFonts w:eastAsia="Times New Roman"/>
          <w:b/>
          <w:lang w:eastAsia="pl-PL"/>
        </w:rPr>
      </w:pPr>
      <w:r w:rsidRPr="00AC3330">
        <w:rPr>
          <w:rFonts w:eastAsia="Times New Roman"/>
          <w:b/>
          <w:lang w:eastAsia="pl-PL"/>
        </w:rPr>
        <w:t>SPRAWOZDANIE</w:t>
      </w:r>
    </w:p>
    <w:p w:rsidR="00AC3330" w:rsidRPr="00AC3330" w:rsidRDefault="00AC3330" w:rsidP="00AC3330">
      <w:pPr>
        <w:jc w:val="center"/>
        <w:outlineLvl w:val="0"/>
        <w:rPr>
          <w:rFonts w:eastAsia="Times New Roman"/>
          <w:b/>
          <w:lang w:eastAsia="pl-PL"/>
        </w:rPr>
      </w:pPr>
      <w:r w:rsidRPr="00AC3330">
        <w:rPr>
          <w:rFonts w:eastAsia="Times New Roman"/>
          <w:b/>
          <w:lang w:eastAsia="pl-PL"/>
        </w:rPr>
        <w:t>z działalności Miejskiej Biblioteki Publicznej w Sławkowie</w:t>
      </w:r>
    </w:p>
    <w:p w:rsidR="00AC3330" w:rsidRPr="00AC3330" w:rsidRDefault="00AC3330" w:rsidP="00AC3330">
      <w:pPr>
        <w:jc w:val="center"/>
        <w:outlineLvl w:val="0"/>
        <w:rPr>
          <w:rFonts w:eastAsia="Times New Roman"/>
          <w:b/>
          <w:lang w:eastAsia="pl-PL"/>
        </w:rPr>
      </w:pPr>
      <w:r w:rsidRPr="00AC3330">
        <w:rPr>
          <w:rFonts w:eastAsia="Times New Roman"/>
          <w:b/>
          <w:lang w:eastAsia="pl-PL"/>
        </w:rPr>
        <w:t>w 2017 roku.</w:t>
      </w:r>
    </w:p>
    <w:p w:rsidR="00AC3330" w:rsidRDefault="00AC3330" w:rsidP="00AC3330">
      <w:pPr>
        <w:outlineLvl w:val="0"/>
        <w:rPr>
          <w:rFonts w:eastAsia="Times New Roman"/>
          <w:color w:val="C00000"/>
          <w:lang w:eastAsia="pl-PL"/>
        </w:rPr>
      </w:pPr>
    </w:p>
    <w:p w:rsidR="0007643A" w:rsidRPr="00AC3330" w:rsidRDefault="0007643A" w:rsidP="00AC3330">
      <w:pPr>
        <w:outlineLvl w:val="0"/>
        <w:rPr>
          <w:rFonts w:eastAsia="Times New Roman"/>
          <w:b/>
          <w:color w:val="C00000"/>
          <w:lang w:eastAsia="pl-PL"/>
        </w:rPr>
      </w:pPr>
    </w:p>
    <w:p w:rsidR="00AC3330" w:rsidRPr="00AC3330" w:rsidRDefault="00833C9A" w:rsidP="00833C9A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1. </w:t>
      </w:r>
      <w:r w:rsidR="00AC3330" w:rsidRPr="00AC3330">
        <w:rPr>
          <w:rFonts w:eastAsia="Times New Roman"/>
          <w:b/>
          <w:lang w:eastAsia="pl-PL"/>
        </w:rPr>
        <w:t>Stan i zmiany w organizacji Biblioteki.</w:t>
      </w:r>
      <w:r w:rsidR="00165FD7">
        <w:rPr>
          <w:rFonts w:eastAsia="Times New Roman"/>
          <w:b/>
          <w:lang w:eastAsia="pl-PL"/>
        </w:rPr>
        <w:t xml:space="preserve"> Najważniejsze osiągnięcia </w:t>
      </w:r>
      <w:r>
        <w:rPr>
          <w:rFonts w:eastAsia="Times New Roman"/>
          <w:b/>
          <w:lang w:eastAsia="pl-PL"/>
        </w:rPr>
        <w:t xml:space="preserve">i wydarzenia. Modernizacja bazy </w:t>
      </w:r>
      <w:r w:rsidR="00165FD7">
        <w:rPr>
          <w:rFonts w:eastAsia="Times New Roman"/>
          <w:b/>
          <w:lang w:eastAsia="pl-PL"/>
        </w:rPr>
        <w:t>lokalowej.</w:t>
      </w:r>
    </w:p>
    <w:p w:rsidR="00AC3330" w:rsidRPr="00AC3330" w:rsidRDefault="00833C9A" w:rsidP="00833C9A">
      <w:pPr>
        <w:tabs>
          <w:tab w:val="left" w:pos="5670"/>
        </w:tabs>
        <w:jc w:val="both"/>
        <w:outlineLvl w:val="0"/>
        <w:rPr>
          <w:rFonts w:eastAsia="Times New Roman"/>
          <w:color w:val="C00000"/>
          <w:lang w:eastAsia="pl-PL"/>
        </w:rPr>
      </w:pPr>
      <w:r>
        <w:rPr>
          <w:rFonts w:eastAsia="Times New Roman"/>
          <w:color w:val="C00000"/>
          <w:lang w:eastAsia="pl-PL"/>
        </w:rPr>
        <w:tab/>
      </w:r>
    </w:p>
    <w:p w:rsidR="00AC3330" w:rsidRPr="00AC3330" w:rsidRDefault="00AC3330" w:rsidP="00165FD7">
      <w:pPr>
        <w:ind w:firstLine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W 2017 roku Miejska Biblioteka Publiczna w Sławkowie po raz pierwszy wzięł</w:t>
      </w:r>
      <w:r w:rsidR="00165FD7">
        <w:rPr>
          <w:rFonts w:eastAsia="Times New Roman"/>
          <w:lang w:eastAsia="pl-PL"/>
        </w:rPr>
        <w:t xml:space="preserve">a udział w  ogólnopolskiej Nocy </w:t>
      </w:r>
      <w:r w:rsidRPr="00AC3330">
        <w:rPr>
          <w:rFonts w:eastAsia="Times New Roman"/>
          <w:lang w:eastAsia="pl-PL"/>
        </w:rPr>
        <w:t xml:space="preserve">Bibliotek. Na tę wyjątkową noc Biblioteka przygotowała popularną w ostatnich latach zabawę towarzyską – </w:t>
      </w:r>
      <w:proofErr w:type="spellStart"/>
      <w:r w:rsidRPr="00AC3330">
        <w:rPr>
          <w:rFonts w:eastAsia="Times New Roman"/>
          <w:lang w:eastAsia="pl-PL"/>
        </w:rPr>
        <w:t>Eskape</w:t>
      </w:r>
      <w:proofErr w:type="spellEnd"/>
      <w:r w:rsidRPr="00AC3330">
        <w:rPr>
          <w:rFonts w:eastAsia="Times New Roman"/>
          <w:lang w:eastAsia="pl-PL"/>
        </w:rPr>
        <w:t xml:space="preserve"> </w:t>
      </w:r>
      <w:proofErr w:type="spellStart"/>
      <w:r w:rsidRPr="00AC3330">
        <w:rPr>
          <w:rFonts w:eastAsia="Times New Roman"/>
          <w:lang w:eastAsia="pl-PL"/>
        </w:rPr>
        <w:t>room</w:t>
      </w:r>
      <w:proofErr w:type="spellEnd"/>
      <w:r w:rsidRPr="00AC3330">
        <w:rPr>
          <w:rFonts w:eastAsia="Times New Roman"/>
          <w:lang w:eastAsia="pl-PL"/>
        </w:rPr>
        <w:t xml:space="preserve"> (z ang. pokój ucieczki). Gracze zostali zamknięci w pokoj</w:t>
      </w:r>
      <w:r w:rsidR="00165FD7">
        <w:rPr>
          <w:rFonts w:eastAsia="Times New Roman"/>
          <w:lang w:eastAsia="pl-PL"/>
        </w:rPr>
        <w:t>u pełnym łamigłówek, które musieli</w:t>
      </w:r>
      <w:r w:rsidRPr="00AC3330">
        <w:rPr>
          <w:rFonts w:eastAsia="Times New Roman"/>
          <w:lang w:eastAsia="pl-PL"/>
        </w:rPr>
        <w:t xml:space="preserve"> rozwiązać, aby znaleźć klucz do wyjścia. Do naszego wyzwania stanęło siedem zespołów. Impreza cieszyła się dużym zainteresowaniem i wzbudziła wiele emocji. </w:t>
      </w:r>
    </w:p>
    <w:p w:rsidR="00AC3330" w:rsidRPr="00AC3330" w:rsidRDefault="00AC3330" w:rsidP="00165FD7">
      <w:pPr>
        <w:ind w:firstLine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W 2017 roku Biblioteka wzięła udział w akcji „Paczka Literacka”, zorganizowanej przez Wydawnictwo Agora oraz Fundację Rozwoju Społeczeństwa Informacyjnego. Nasz</w:t>
      </w:r>
      <w:r w:rsidR="0007643A">
        <w:rPr>
          <w:rFonts w:eastAsia="Times New Roman"/>
          <w:lang w:eastAsia="pl-PL"/>
        </w:rPr>
        <w:t>a książnica otrzymała pakiet 21</w:t>
      </w:r>
      <w:r w:rsidRPr="00AC3330">
        <w:rPr>
          <w:rFonts w:eastAsia="Times New Roman"/>
          <w:lang w:eastAsia="pl-PL"/>
        </w:rPr>
        <w:t> książek oraz dwa audiobooki.</w:t>
      </w:r>
    </w:p>
    <w:p w:rsidR="00AC3330" w:rsidRPr="00AC3330" w:rsidRDefault="00833C9A" w:rsidP="00833C9A">
      <w:pPr>
        <w:ind w:firstLine="375"/>
        <w:jc w:val="both"/>
        <w:rPr>
          <w:color w:val="C00000"/>
        </w:rPr>
      </w:pPr>
      <w:r>
        <w:rPr>
          <w:rFonts w:eastAsia="Times New Roman"/>
          <w:lang w:eastAsia="pl-PL"/>
        </w:rPr>
        <w:t>W omawianym roku</w:t>
      </w:r>
      <w:r w:rsidR="00AC3330" w:rsidRPr="00AC3330">
        <w:rPr>
          <w:rFonts w:eastAsia="Times New Roman"/>
          <w:lang w:eastAsia="pl-PL"/>
        </w:rPr>
        <w:t xml:space="preserve"> przeprowadzono kapitalny remont schodów zewnętrznych, prowadzących do wejścia głównego Biblioteki. Remont ten był konieczny ze względu na ubytki w płytkach oraz fakt, że były bardzo śliskie, co zagrażało bezpieczeństwu korzystających z Biblioteki osób. Do obłożenia schodów zastosowano płytki typu klinkier, które zastąpiły płytki typu gres. Zmiana okazała się pozytywna, płytki nie są śliskie i </w:t>
      </w:r>
      <w:r>
        <w:rPr>
          <w:rFonts w:eastAsia="Times New Roman"/>
          <w:lang w:eastAsia="pl-PL"/>
        </w:rPr>
        <w:t> </w:t>
      </w:r>
      <w:r w:rsidR="00AC3330" w:rsidRPr="00AC3330">
        <w:rPr>
          <w:rFonts w:eastAsia="Times New Roman"/>
          <w:lang w:eastAsia="pl-PL"/>
        </w:rPr>
        <w:t xml:space="preserve">dotychczas nie było konieczności zabezpieczania stopni gumowymi </w:t>
      </w:r>
      <w:r>
        <w:rPr>
          <w:rFonts w:eastAsia="Times New Roman"/>
          <w:lang w:eastAsia="pl-PL"/>
        </w:rPr>
        <w:t>matami, co w  przeszłości, w sezonie zimowym</w:t>
      </w:r>
      <w:r w:rsidR="00AC3330" w:rsidRPr="00AC3330">
        <w:rPr>
          <w:rFonts w:eastAsia="Times New Roman"/>
          <w:lang w:eastAsia="pl-PL"/>
        </w:rPr>
        <w:t xml:space="preserve"> było koniecznością. </w:t>
      </w:r>
    </w:p>
    <w:p w:rsidR="00AC3330" w:rsidRPr="00AC3330" w:rsidRDefault="00AC3330" w:rsidP="00833C9A">
      <w:pPr>
        <w:ind w:hanging="705"/>
        <w:jc w:val="both"/>
        <w:rPr>
          <w:color w:val="C00000"/>
        </w:rPr>
      </w:pPr>
      <w:r w:rsidRPr="00AC3330">
        <w:rPr>
          <w:color w:val="C00000"/>
        </w:rPr>
        <w:t xml:space="preserve">   </w:t>
      </w:r>
    </w:p>
    <w:p w:rsidR="00AC3330" w:rsidRPr="00AC3330" w:rsidRDefault="00833C9A" w:rsidP="00833C9A">
      <w:pPr>
        <w:spacing w:after="160" w:line="259" w:lineRule="auto"/>
        <w:ind w:left="15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2. Komputeryzacja.</w:t>
      </w:r>
    </w:p>
    <w:p w:rsidR="00833C9A" w:rsidRPr="00833C9A" w:rsidRDefault="00833C9A" w:rsidP="00833C9A">
      <w:pPr>
        <w:ind w:left="15"/>
        <w:jc w:val="both"/>
        <w:rPr>
          <w:rFonts w:eastAsia="Times New Roman"/>
          <w:lang w:eastAsia="pl-PL"/>
        </w:rPr>
      </w:pPr>
      <w:r w:rsidRPr="00833C9A">
        <w:rPr>
          <w:rFonts w:eastAsia="Times New Roman"/>
          <w:lang w:eastAsia="pl-PL"/>
        </w:rPr>
        <w:t xml:space="preserve">W 2017 roku zakupiono zestaw komputerowy, przeznaczony do Działu Gromadzenia i  Opracowania Zbiorów. Wartość komputera to 2.792,10 zł. W  2017 roku Biblioteka zakupiła również serwerową szafę stojącą </w:t>
      </w:r>
      <w:proofErr w:type="spellStart"/>
      <w:r w:rsidRPr="00833C9A">
        <w:rPr>
          <w:rFonts w:eastAsia="Times New Roman"/>
          <w:lang w:eastAsia="pl-PL"/>
        </w:rPr>
        <w:t>rack</w:t>
      </w:r>
      <w:proofErr w:type="spellEnd"/>
      <w:r w:rsidRPr="00833C9A">
        <w:rPr>
          <w:rFonts w:eastAsia="Times New Roman"/>
          <w:lang w:eastAsia="pl-PL"/>
        </w:rPr>
        <w:t xml:space="preserve"> o </w:t>
      </w:r>
      <w:r>
        <w:rPr>
          <w:rFonts w:eastAsia="Times New Roman"/>
          <w:lang w:eastAsia="pl-PL"/>
        </w:rPr>
        <w:t> </w:t>
      </w:r>
      <w:r w:rsidRPr="00833C9A">
        <w:rPr>
          <w:rFonts w:eastAsia="Times New Roman"/>
          <w:lang w:eastAsia="pl-PL"/>
        </w:rPr>
        <w:t>wartości 1.691,25 zł.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0C7CB1" w:rsidP="00AC33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3</w:t>
      </w:r>
      <w:r w:rsidR="00833C9A">
        <w:rPr>
          <w:rFonts w:eastAsia="Times New Roman"/>
          <w:b/>
          <w:lang w:eastAsia="pl-PL"/>
        </w:rPr>
        <w:t xml:space="preserve">. </w:t>
      </w:r>
      <w:r w:rsidR="00AC3330" w:rsidRPr="00AC3330">
        <w:rPr>
          <w:rFonts w:eastAsia="Times New Roman"/>
          <w:b/>
          <w:lang w:eastAsia="pl-PL"/>
        </w:rPr>
        <w:t xml:space="preserve">Zbiory biblioteczne. </w:t>
      </w:r>
      <w:r w:rsidR="00165FD7">
        <w:rPr>
          <w:rFonts w:eastAsia="Times New Roman"/>
          <w:b/>
          <w:lang w:eastAsia="pl-PL"/>
        </w:rPr>
        <w:t xml:space="preserve">Polityka gromadzenia </w:t>
      </w:r>
      <w:r>
        <w:rPr>
          <w:rFonts w:eastAsia="Times New Roman"/>
          <w:b/>
          <w:lang w:eastAsia="pl-PL"/>
        </w:rPr>
        <w:t>zbiorów. Prenumerata czasopism</w:t>
      </w:r>
      <w:r w:rsidR="00165FD7">
        <w:rPr>
          <w:rFonts w:eastAsia="Times New Roman"/>
          <w:b/>
          <w:lang w:eastAsia="pl-PL"/>
        </w:rPr>
        <w:t xml:space="preserve">. </w:t>
      </w:r>
    </w:p>
    <w:p w:rsidR="00AC3330" w:rsidRPr="00AC3330" w:rsidRDefault="00AC3330" w:rsidP="00AC3330">
      <w:pPr>
        <w:ind w:left="360"/>
        <w:jc w:val="both"/>
        <w:rPr>
          <w:rFonts w:eastAsia="Times New Roman"/>
          <w:b/>
          <w:color w:val="C00000"/>
          <w:lang w:eastAsia="pl-PL"/>
        </w:rPr>
      </w:pPr>
    </w:p>
    <w:p w:rsidR="00AC3330" w:rsidRPr="00AC3330" w:rsidRDefault="00AC3330" w:rsidP="00833C9A">
      <w:pPr>
        <w:ind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color w:val="C00000"/>
          <w:lang w:eastAsia="pl-PL"/>
        </w:rPr>
        <w:tab/>
      </w:r>
      <w:r w:rsidR="000C7CB1">
        <w:rPr>
          <w:rFonts w:eastAsia="Times New Roman"/>
          <w:color w:val="C00000"/>
          <w:lang w:eastAsia="pl-PL"/>
        </w:rPr>
        <w:tab/>
      </w:r>
      <w:r w:rsidRPr="00AC3330">
        <w:rPr>
          <w:rFonts w:eastAsia="Times New Roman"/>
          <w:lang w:eastAsia="pl-PL"/>
        </w:rPr>
        <w:t>Łączny stan księgozbioru na koniec 2017 roku wynosił 41 207 woluminy. W 2017 roku księgozbiór powiększył się o 776 nowych pozycji. Struktura księgozbioru jest identyczna, jak w roku 2016 i  przedstawia się następująco:</w:t>
      </w:r>
    </w:p>
    <w:p w:rsidR="00AC3330" w:rsidRPr="00AC3330" w:rsidRDefault="00AC3330" w:rsidP="00833C9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literatura piękna dla dzieci i młodzieży: 9 886 (+209 wol.),</w:t>
      </w:r>
    </w:p>
    <w:p w:rsidR="00AC3330" w:rsidRPr="00AC3330" w:rsidRDefault="00AC3330" w:rsidP="00833C9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literatura piękna dla dorosłych: 20 787 (+460 wol.),</w:t>
      </w:r>
    </w:p>
    <w:p w:rsidR="00AC3330" w:rsidRPr="00AC3330" w:rsidRDefault="00AC3330" w:rsidP="00833C9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literatura popularnonaukowa i naukowa: 10 454 (+107 wol.)</w:t>
      </w:r>
    </w:p>
    <w:p w:rsidR="00795FDF" w:rsidRDefault="00AC3330" w:rsidP="0007643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czasopisma oprawne: 80</w:t>
      </w:r>
    </w:p>
    <w:p w:rsidR="00AC3330" w:rsidRPr="0007643A" w:rsidRDefault="00AC3330" w:rsidP="0007643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noProof/>
          <w:color w:val="C00000"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5E775507" wp14:editId="2305D7A5">
            <wp:simplePos x="0" y="0"/>
            <wp:positionH relativeFrom="column">
              <wp:posOffset>532765</wp:posOffset>
            </wp:positionH>
            <wp:positionV relativeFrom="paragraph">
              <wp:posOffset>180975</wp:posOffset>
            </wp:positionV>
            <wp:extent cx="5342255" cy="1831340"/>
            <wp:effectExtent l="0" t="0" r="0" b="0"/>
            <wp:wrapSquare wrapText="bothSides"/>
            <wp:docPr id="1" nam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43A" w:rsidRDefault="0007643A" w:rsidP="000C7CB1">
      <w:pPr>
        <w:ind w:firstLine="708"/>
        <w:jc w:val="both"/>
        <w:rPr>
          <w:rFonts w:eastAsia="Times New Roman"/>
          <w:lang w:eastAsia="pl-PL"/>
        </w:rPr>
      </w:pPr>
    </w:p>
    <w:p w:rsidR="00AC3330" w:rsidRPr="00AC3330" w:rsidRDefault="00AC3330" w:rsidP="0007643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Ze środków samorządowych Biblioteka zakupiła 338 woluminów na kwotę 7.416,88 zł. 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Z dotacji Ministra Kultury i Dziedzictwa Narodowego zakupiono 274 woluminy na kwotę 6.150,00 zł. Ze</w:t>
      </w:r>
      <w:r w:rsidR="000C7CB1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 xml:space="preserve"> środków własnych zakupi</w:t>
      </w:r>
      <w:r w:rsidR="000C7CB1">
        <w:rPr>
          <w:rFonts w:eastAsia="Times New Roman"/>
          <w:lang w:eastAsia="pl-PL"/>
        </w:rPr>
        <w:t>ono 48 woluminów na kwotę 1.002,</w:t>
      </w:r>
      <w:r w:rsidRPr="00AC3330">
        <w:rPr>
          <w:rFonts w:eastAsia="Times New Roman"/>
          <w:lang w:eastAsia="pl-PL"/>
        </w:rPr>
        <w:t>12 zł. Sławkowski księgozbiór wzbogacił się także o dary książkowe – 116 woluminów o wartości 2.095,79 zł.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Wszystkie książki były na bieżąco opracowywane pod względem formalnym i rzeczowym. 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 2017 roku kontynuowano pracę nad dostosowaniem struktury księgozbioru do  obowiązujących norm, zgodnych z Uniwersalną Klasyfikacją Dziesiętną UDC-PO58. W  minionym roku całkowitej rewizji poddano działy </w:t>
      </w:r>
      <w:r w:rsidRPr="00AC3330">
        <w:t>791/792 Film. Kino. Widowiska Publiczne. Teatr 793/794 Rozrywki towarzyskie. Zabawy. Gry towarzyskie stołowe. 796/799 Sport.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 2017 roku </w:t>
      </w:r>
      <w:proofErr w:type="spellStart"/>
      <w:r w:rsidRPr="00AC3330">
        <w:rPr>
          <w:rFonts w:eastAsia="Times New Roman"/>
          <w:lang w:eastAsia="pl-PL"/>
        </w:rPr>
        <w:t>zubytkowano</w:t>
      </w:r>
      <w:proofErr w:type="spellEnd"/>
      <w:r w:rsidRPr="00AC3330">
        <w:rPr>
          <w:rFonts w:eastAsia="Times New Roman"/>
          <w:lang w:eastAsia="pl-PL"/>
        </w:rPr>
        <w:t xml:space="preserve"> 773 woluminy, w tym: 124 wol. z literatury pięknej dla  dzieci i młodzieży, 213 </w:t>
      </w:r>
      <w:r w:rsidR="000C7CB1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>wol. z literatury pięknej dla dorosłych oraz 436 wol. z literatury popularnonaukowej.</w:t>
      </w:r>
    </w:p>
    <w:p w:rsidR="00AC3330" w:rsidRPr="00AC3330" w:rsidRDefault="00AC3330" w:rsidP="000C7CB1">
      <w:pPr>
        <w:ind w:firstLine="708"/>
        <w:jc w:val="both"/>
      </w:pPr>
      <w:r w:rsidRPr="00AC3330">
        <w:t>Biblioteka stara się zaspokoić potrzeby różnych grup użytkowników (osób w różnym wieku, o różnych preferencjach czytelniczych). Potrzeby te i ich zaspokajanie w znacznym stopniu warunkują politykę gromadzenia. Głównym źródłem zakupu materiałów są dotacje z Urzędu Miasta oraz dotacja celowa Ministra Kultury i Dziedzictwa Narodowego. Księgozbiór uzupełniają także dary od czytelników. Podstawowym kryterium doboru książek przy zakupie były przede wszystkim propozycje zgłaszane przez samych czytelników: drogą elektroniczną, w trakcie rozmowy z bibliotekarzami lub poprzez skrzynkę „Zaproponuj książkę”. Ważnym atutem przy uzupełnianiu zbiorów jest także doświadczenie samych bibliotekarzy i dobra znajomość potrzeb i preferencji poszczególnych, cz</w:t>
      </w:r>
      <w:r w:rsidR="009365EA">
        <w:t xml:space="preserve">ęsto wieloletnich czytelników. </w:t>
      </w:r>
      <w:r w:rsidRPr="00AC3330">
        <w:t xml:space="preserve">Kompletując księgozbiór pracownicy korzystają także ze stron internetowych wydawnictw i najpopularniejszych księgarni (Empik, </w:t>
      </w:r>
      <w:proofErr w:type="spellStart"/>
      <w:r w:rsidRPr="00AC3330">
        <w:t>Matras</w:t>
      </w:r>
      <w:proofErr w:type="spellEnd"/>
      <w:r w:rsidRPr="00AC3330">
        <w:t xml:space="preserve">, </w:t>
      </w:r>
      <w:proofErr w:type="spellStart"/>
      <w:r w:rsidRPr="00AC3330">
        <w:t>Bonito</w:t>
      </w:r>
      <w:proofErr w:type="spellEnd"/>
      <w:r w:rsidRPr="00AC3330">
        <w:t>). Wykorzystywane są blogi czytelnicze: Lubimy czytać, Czytam, bo lubię, Czytam recenzuje - blog o literaturze faktu. Przeglądane są rankingi najlepszych i najbardziej polecanych ks</w:t>
      </w:r>
      <w:r w:rsidR="009365EA">
        <w:t>iążek. Pod uwagę brane są książki laureatów takich nagród jak:</w:t>
      </w:r>
      <w:r w:rsidR="00185C29">
        <w:t xml:space="preserve"> Nagroda</w:t>
      </w:r>
      <w:r w:rsidRPr="00AC3330">
        <w:t xml:space="preserve"> Nobla </w:t>
      </w:r>
      <w:r w:rsidR="009365EA">
        <w:t xml:space="preserve">w dziedzinie literatury, nagroda </w:t>
      </w:r>
      <w:proofErr w:type="spellStart"/>
      <w:r w:rsidR="009365EA">
        <w:t>Bookera</w:t>
      </w:r>
      <w:proofErr w:type="spellEnd"/>
      <w:r w:rsidR="009365EA">
        <w:t>, nagroda</w:t>
      </w:r>
      <w:r w:rsidRPr="00AC3330">
        <w:t xml:space="preserve"> Pulitzera, Nike i inne. Dużą pomocą są także katalogi </w:t>
      </w:r>
      <w:r w:rsidR="009365EA">
        <w:t xml:space="preserve">nowości wydawniczych, </w:t>
      </w:r>
      <w:r w:rsidRPr="00AC3330">
        <w:t xml:space="preserve">przywożone z odwiedzanych rokrocznie śląskich i krakowskich targów książki. </w:t>
      </w:r>
    </w:p>
    <w:p w:rsidR="00AC3330" w:rsidRPr="00AC3330" w:rsidRDefault="00AC3330" w:rsidP="000C7CB1">
      <w:pPr>
        <w:jc w:val="both"/>
        <w:rPr>
          <w:rFonts w:eastAsia="Times New Roman"/>
          <w:color w:val="C00000"/>
          <w:lang w:eastAsia="pl-PL"/>
        </w:rPr>
      </w:pPr>
      <w:r w:rsidRPr="00AC3330">
        <w:t xml:space="preserve">Biblioteka dba o to, aby rozwój księgozbioru przebiegał równomiernie. Zakup książek poprzedzony był porównaniem cen poszczególnych tytułów u wybranych dostawców. Nowości książkowe są systematycznie eksponowane na regale: „Książki polecane”, który sławkowscy czytelnicy przeglądają w pierwszej kolejności, przyzwyczajeni, że tutaj znajdą najnowsze nabytki Biblioteki. </w:t>
      </w:r>
    </w:p>
    <w:p w:rsidR="00AC3330" w:rsidRPr="00AC3330" w:rsidRDefault="00AC3330" w:rsidP="000C7CB1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0C7CB1">
      <w:pPr>
        <w:ind w:firstLine="708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 2017 roku Biblioteka prenumerowała jedno czasopismo fachowe - „Bibliotekę Publiczną”. Od lipca 2017r., na wniosek radnych z Komisji ds. Oświaty, Kultury i Spraw Społecznych w Bibliotece udostępniane </w:t>
      </w:r>
      <w:r w:rsidRPr="00AC3330">
        <w:rPr>
          <w:rFonts w:eastAsia="Times New Roman"/>
          <w:lang w:eastAsia="pl-PL"/>
        </w:rPr>
        <w:lastRenderedPageBreak/>
        <w:t xml:space="preserve">są </w:t>
      </w:r>
      <w:r w:rsidR="000C7CB1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>cztery tytuły prasy codziennej: trzy dzienniki ogólnopolskie („Rzeczpospolita”, „Gazeta Wyborcza”, „Dziennik. Gazeta Prawna”) oraz jeden dziennik regionalny („Dziennik Zachodni”), które mają już swoich stałych czytelników. Dzienniki przekazuje Bibliotece Urząd Miasta w Sławkowie. W Bibliotece dostępny jest także miesięcznik społeczno-kulturalny „Śląsk”, który otrzymujemy od Biblioteki Śląskiej. Wzorem poprzednich lat Biblioteka pozyskiwała czasopisma w  formie darów. Dzięki życzliwości czytelników trafiają do nas systematycznie m.in. „Zwierciadło”, „Twój Styl”, „Pani”, „Wysokie Obcasy Extra”</w:t>
      </w:r>
      <w:r w:rsidR="00185C29">
        <w:rPr>
          <w:rFonts w:eastAsia="Times New Roman"/>
          <w:lang w:eastAsia="pl-PL"/>
        </w:rPr>
        <w:t>,</w:t>
      </w:r>
      <w:r w:rsidRPr="00AC3330">
        <w:rPr>
          <w:rFonts w:eastAsia="Times New Roman"/>
          <w:lang w:eastAsia="pl-PL"/>
        </w:rPr>
        <w:t xml:space="preserve">  „Charaktery”.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 minionym roku Biblioteka udostępniła łącznie 851 czasopism (+317),  w tym na zewnątrz wypożyczyła 302 </w:t>
      </w:r>
      <w:r w:rsidR="000C7CB1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 xml:space="preserve">egzemplarze (+1), na  miejscu zaś udostępniono 549 tytuły prasowe (+316). Nastąpił zatem dalszy wzrost wykorzystania czasopism na miejscu oraz wzrost </w:t>
      </w:r>
      <w:proofErr w:type="spellStart"/>
      <w:r w:rsidRPr="00AC3330">
        <w:rPr>
          <w:rFonts w:eastAsia="Times New Roman"/>
          <w:lang w:eastAsia="pl-PL"/>
        </w:rPr>
        <w:t>wypożyczeń</w:t>
      </w:r>
      <w:proofErr w:type="spellEnd"/>
      <w:r w:rsidRPr="00AC3330">
        <w:rPr>
          <w:rFonts w:eastAsia="Times New Roman"/>
          <w:lang w:eastAsia="pl-PL"/>
        </w:rPr>
        <w:t xml:space="preserve"> czasopism do domu.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0C7CB1" w:rsidP="00AC3330">
      <w:pPr>
        <w:ind w:left="705" w:hanging="705"/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4. </w:t>
      </w:r>
      <w:r w:rsidR="00AC3330" w:rsidRPr="00AC3330">
        <w:rPr>
          <w:rFonts w:eastAsia="Times New Roman"/>
          <w:b/>
          <w:lang w:eastAsia="pl-PL"/>
        </w:rPr>
        <w:t>Czytelnictwo. Promocja. Działalność informacyjna.</w:t>
      </w:r>
    </w:p>
    <w:p w:rsidR="00AC3330" w:rsidRPr="00AC3330" w:rsidRDefault="00AC3330" w:rsidP="00AC3330">
      <w:pPr>
        <w:jc w:val="both"/>
        <w:rPr>
          <w:rFonts w:eastAsia="Times New Roman"/>
          <w:b/>
          <w:color w:val="C00000"/>
          <w:lang w:eastAsia="pl-PL"/>
        </w:rPr>
      </w:pPr>
    </w:p>
    <w:p w:rsidR="00AC3330" w:rsidRPr="00AC3330" w:rsidRDefault="00AC3330" w:rsidP="000C7CB1">
      <w:pPr>
        <w:ind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color w:val="C00000"/>
          <w:lang w:eastAsia="pl-PL"/>
        </w:rPr>
        <w:tab/>
      </w:r>
      <w:r w:rsidR="000C7CB1">
        <w:rPr>
          <w:rFonts w:eastAsia="Times New Roman"/>
          <w:color w:val="C00000"/>
          <w:lang w:eastAsia="pl-PL"/>
        </w:rPr>
        <w:tab/>
      </w:r>
      <w:r w:rsidRPr="00AC3330">
        <w:rPr>
          <w:rFonts w:eastAsia="Times New Roman"/>
          <w:lang w:eastAsia="pl-PL"/>
        </w:rPr>
        <w:t xml:space="preserve">W 2017 roku w Bibliotece zarejestrowano 1649 czytelników. Nastąpił zatem niewielki spadek ich liczby w porównaniu z rokiem 2016 (-14 osób). </w:t>
      </w:r>
    </w:p>
    <w:p w:rsidR="00AC3330" w:rsidRPr="00AC3330" w:rsidRDefault="00AC3330" w:rsidP="000C7CB1">
      <w:pPr>
        <w:ind w:hanging="705"/>
        <w:jc w:val="both"/>
        <w:rPr>
          <w:rFonts w:eastAsia="Times New Roman"/>
          <w:lang w:eastAsia="pl-PL"/>
        </w:rPr>
      </w:pP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Zestawienie za dwa ostatnie lata struktury czytelników wg zajęcia obrazuje poniższa tabela:</w:t>
      </w:r>
    </w:p>
    <w:p w:rsidR="00AC3330" w:rsidRPr="00AC3330" w:rsidRDefault="00AC3330" w:rsidP="00AC3330">
      <w:pPr>
        <w:ind w:left="720" w:hanging="540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</w:r>
    </w:p>
    <w:tbl>
      <w:tblPr>
        <w:tblStyle w:val="Tabela-Siatka"/>
        <w:tblW w:w="8267" w:type="dxa"/>
        <w:tblInd w:w="828" w:type="dxa"/>
        <w:tblLook w:val="01E0" w:firstRow="1" w:lastRow="1" w:firstColumn="1" w:lastColumn="1" w:noHBand="0" w:noVBand="0"/>
      </w:tblPr>
      <w:tblGrid>
        <w:gridCol w:w="2470"/>
        <w:gridCol w:w="1913"/>
        <w:gridCol w:w="1942"/>
        <w:gridCol w:w="1942"/>
      </w:tblGrid>
      <w:tr w:rsidR="00AC3330" w:rsidRPr="00AC3330" w:rsidTr="00CF6F8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</w:pPr>
            <w:r w:rsidRPr="00AC3330">
              <w:t>Zajęcie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</w:pPr>
            <w:r w:rsidRPr="00AC3330">
              <w:t>2016r.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</w:pPr>
            <w:r w:rsidRPr="00AC3330">
              <w:t>2017r.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</w:pPr>
            <w:r w:rsidRPr="00AC3330">
              <w:t>Różnica</w:t>
            </w:r>
          </w:p>
        </w:tc>
      </w:tr>
      <w:tr w:rsidR="00AC3330" w:rsidRPr="00AC3330" w:rsidTr="00CF6F8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osoby uczące się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650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657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+7</w:t>
            </w:r>
          </w:p>
        </w:tc>
      </w:tr>
      <w:tr w:rsidR="00AC3330" w:rsidRPr="00AC3330" w:rsidTr="00CF6F8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osoby pracujące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615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612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-3</w:t>
            </w:r>
          </w:p>
        </w:tc>
      </w:tr>
      <w:tr w:rsidR="00AC3330" w:rsidRPr="00AC3330" w:rsidTr="00CF6F8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pozostali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398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380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-18</w:t>
            </w:r>
          </w:p>
        </w:tc>
      </w:tr>
    </w:tbl>
    <w:p w:rsidR="00AC3330" w:rsidRPr="00AC3330" w:rsidRDefault="00AC3330" w:rsidP="00AC3330">
      <w:pPr>
        <w:ind w:left="705"/>
        <w:jc w:val="both"/>
        <w:rPr>
          <w:rFonts w:eastAsia="Times New Roman"/>
          <w:color w:val="C00000"/>
          <w:u w:val="single"/>
          <w:lang w:eastAsia="pl-PL"/>
        </w:rPr>
      </w:pPr>
    </w:p>
    <w:p w:rsidR="00AC3330" w:rsidRPr="00AC3330" w:rsidRDefault="00AC3330" w:rsidP="000C7CB1">
      <w:pPr>
        <w:ind w:hanging="12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Czytelnicy odwiedzili Bibliotekę 17 513 razy i wypożyczyli 31 297 pozycji książkowych. Nastąpił zatem wzrost odwiedzin (+2749) i wzrost </w:t>
      </w:r>
      <w:proofErr w:type="spellStart"/>
      <w:r w:rsidRPr="00AC3330">
        <w:rPr>
          <w:rFonts w:eastAsia="Times New Roman"/>
          <w:lang w:eastAsia="pl-PL"/>
        </w:rPr>
        <w:t>wypożyczeń</w:t>
      </w:r>
      <w:proofErr w:type="spellEnd"/>
      <w:r w:rsidRPr="00AC3330">
        <w:rPr>
          <w:rFonts w:eastAsia="Times New Roman"/>
          <w:lang w:eastAsia="pl-PL"/>
        </w:rPr>
        <w:t xml:space="preserve"> książek na zew</w:t>
      </w:r>
      <w:r w:rsidR="000C7CB1">
        <w:rPr>
          <w:rFonts w:eastAsia="Times New Roman"/>
          <w:lang w:eastAsia="pl-PL"/>
        </w:rPr>
        <w:t xml:space="preserve">nątrz </w:t>
      </w:r>
      <w:r w:rsidRPr="00AC3330">
        <w:rPr>
          <w:rFonts w:eastAsia="Times New Roman"/>
          <w:lang w:eastAsia="pl-PL"/>
        </w:rPr>
        <w:t>(+1775  woluminów), co niezwykle cieszy, biorąc pod uwagę ogólnopolski kryzys czytelnictwa.</w:t>
      </w:r>
    </w:p>
    <w:p w:rsidR="00AC3330" w:rsidRPr="00AC3330" w:rsidRDefault="00AC3330" w:rsidP="000C7CB1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Zasięg czytelnictwa w Sławkowie utrzymuje się  na stałym poziomie i wynosi 24 czytelników w  przeliczeniu na 100 mieszkańców. Należy stwierdzić, że liczba czytelników sławkowskiej książnicy jest w  ostatnich latach stabilna.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AC3330">
      <w:pPr>
        <w:tabs>
          <w:tab w:val="left" w:pos="4860"/>
        </w:tabs>
        <w:ind w:left="720" w:hanging="12"/>
        <w:jc w:val="both"/>
        <w:rPr>
          <w:rFonts w:eastAsia="Times New Roman"/>
          <w:color w:val="C00000"/>
          <w:lang w:eastAsia="pl-PL"/>
        </w:rPr>
      </w:pPr>
      <w:r w:rsidRPr="00AC3330">
        <w:rPr>
          <w:rFonts w:eastAsia="Times New Roman"/>
          <w:noProof/>
          <w:color w:val="C00000"/>
          <w:sz w:val="24"/>
          <w:szCs w:val="24"/>
          <w:lang w:eastAsia="pl-PL"/>
        </w:rPr>
        <w:drawing>
          <wp:inline distT="0" distB="0" distL="0" distR="0" wp14:anchorId="322E9036" wp14:editId="3F5F3518">
            <wp:extent cx="5419725" cy="1752600"/>
            <wp:effectExtent l="0" t="0" r="0" b="0"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3330" w:rsidRPr="00AC3330" w:rsidRDefault="00AC3330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AC3330" w:rsidRDefault="00AC3330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0C7CB1" w:rsidRDefault="000C7CB1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07643A" w:rsidRDefault="0007643A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07643A" w:rsidRDefault="0007643A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07643A" w:rsidRPr="00AC3330" w:rsidRDefault="0007643A" w:rsidP="00AC3330">
      <w:pPr>
        <w:ind w:left="705"/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0C7CB1" w:rsidP="00AC3330">
      <w:pPr>
        <w:ind w:left="705" w:hanging="52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4.1. </w:t>
      </w:r>
      <w:r w:rsidR="00AC3330" w:rsidRPr="00AC3330">
        <w:rPr>
          <w:rFonts w:eastAsia="Times New Roman"/>
          <w:lang w:eastAsia="pl-PL"/>
        </w:rPr>
        <w:t>Czytelnictwo dorosłych w 2017 roku przedstawiało się następująco:</w:t>
      </w:r>
    </w:p>
    <w:p w:rsidR="00AC3330" w:rsidRPr="00AC3330" w:rsidRDefault="00AC3330" w:rsidP="00AC3330">
      <w:pPr>
        <w:ind w:left="705" w:hanging="525"/>
        <w:jc w:val="both"/>
        <w:rPr>
          <w:rFonts w:eastAsia="Times New Roman"/>
          <w:lang w:eastAsia="pl-PL"/>
        </w:rPr>
      </w:pPr>
    </w:p>
    <w:tbl>
      <w:tblPr>
        <w:tblStyle w:val="Tabela-Siatka"/>
        <w:tblW w:w="7286" w:type="dxa"/>
        <w:tblInd w:w="828" w:type="dxa"/>
        <w:tblLook w:val="01E0" w:firstRow="1" w:lastRow="1" w:firstColumn="1" w:lastColumn="1" w:noHBand="0" w:noVBand="0"/>
      </w:tblPr>
      <w:tblGrid>
        <w:gridCol w:w="2093"/>
        <w:gridCol w:w="1731"/>
        <w:gridCol w:w="1718"/>
        <w:gridCol w:w="1744"/>
      </w:tblGrid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jc w:val="center"/>
              <w:rPr>
                <w:b/>
              </w:rPr>
            </w:pPr>
            <w:r w:rsidRPr="00185C29">
              <w:rPr>
                <w:b/>
              </w:rPr>
              <w:t>Grupa wiekowa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jc w:val="center"/>
              <w:rPr>
                <w:b/>
              </w:rPr>
            </w:pPr>
            <w:r w:rsidRPr="00185C29">
              <w:rPr>
                <w:b/>
              </w:rPr>
              <w:t>2016r.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jc w:val="center"/>
              <w:rPr>
                <w:b/>
              </w:rPr>
            </w:pPr>
            <w:r w:rsidRPr="00185C29">
              <w:rPr>
                <w:b/>
              </w:rPr>
              <w:t>2017r.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jc w:val="center"/>
              <w:rPr>
                <w:b/>
              </w:rPr>
            </w:pPr>
            <w:r w:rsidRPr="00185C29">
              <w:rPr>
                <w:b/>
              </w:rPr>
              <w:t>Różnica</w:t>
            </w:r>
          </w:p>
        </w:tc>
      </w:tr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20 - 24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145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151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+6</w:t>
            </w:r>
          </w:p>
        </w:tc>
      </w:tr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25 - 44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511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501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-10</w:t>
            </w:r>
          </w:p>
        </w:tc>
      </w:tr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45 - 60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257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250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-7</w:t>
            </w:r>
          </w:p>
        </w:tc>
      </w:tr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powyżej 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192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217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r w:rsidRPr="00AC3330">
              <w:t>+25</w:t>
            </w:r>
          </w:p>
        </w:tc>
      </w:tr>
      <w:tr w:rsidR="00AC3330" w:rsidRPr="00AC3330" w:rsidTr="00CF6F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rPr>
                <w:b/>
              </w:rPr>
            </w:pPr>
            <w:r w:rsidRPr="00185C29">
              <w:rPr>
                <w:b/>
              </w:rPr>
              <w:t>Ogółem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rPr>
                <w:b/>
              </w:rPr>
            </w:pPr>
            <w:r w:rsidRPr="00185C29">
              <w:rPr>
                <w:b/>
              </w:rPr>
              <w:t>1105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rPr>
                <w:b/>
              </w:rPr>
            </w:pPr>
            <w:r w:rsidRPr="00185C29">
              <w:rPr>
                <w:b/>
              </w:rPr>
              <w:t>1119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185C29" w:rsidRDefault="00AC3330" w:rsidP="00AC3330">
            <w:pPr>
              <w:rPr>
                <w:b/>
              </w:rPr>
            </w:pPr>
            <w:r w:rsidRPr="00185C29">
              <w:rPr>
                <w:b/>
              </w:rPr>
              <w:t>+14</w:t>
            </w:r>
          </w:p>
        </w:tc>
      </w:tr>
    </w:tbl>
    <w:p w:rsidR="00AC3330" w:rsidRPr="00AC3330" w:rsidRDefault="00AC3330" w:rsidP="00AC3330">
      <w:pPr>
        <w:tabs>
          <w:tab w:val="left" w:pos="3060"/>
        </w:tabs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9365EA">
      <w:pPr>
        <w:ind w:firstLine="708"/>
        <w:jc w:val="both"/>
      </w:pPr>
      <w:r w:rsidRPr="00AC3330">
        <w:t xml:space="preserve">W 2017 roku najwięcej zapytań czytelniczych dotyczyło współczesnej, polskiej literatury kobiecej. Obok znanych już pisarek: Agnieszki </w:t>
      </w:r>
      <w:proofErr w:type="spellStart"/>
      <w:r w:rsidRPr="00AC3330">
        <w:t>Lingas</w:t>
      </w:r>
      <w:proofErr w:type="spellEnd"/>
      <w:r w:rsidRPr="00AC3330">
        <w:t xml:space="preserve">-Łoniewskiej, Katarzyny Michalak, Magdaleny </w:t>
      </w:r>
      <w:proofErr w:type="spellStart"/>
      <w:r w:rsidRPr="00AC3330">
        <w:t>Kordel</w:t>
      </w:r>
      <w:proofErr w:type="spellEnd"/>
      <w:r w:rsidRPr="00AC3330">
        <w:t>, wypożycza</w:t>
      </w:r>
      <w:r w:rsidR="009365EA">
        <w:t>no książki Agnieszki Janiszewskiej</w:t>
      </w:r>
      <w:r w:rsidRPr="00AC3330">
        <w:t xml:space="preserve">, Joanny </w:t>
      </w:r>
      <w:proofErr w:type="spellStart"/>
      <w:r w:rsidRPr="00AC3330">
        <w:t>Jax</w:t>
      </w:r>
      <w:proofErr w:type="spellEnd"/>
      <w:r w:rsidRPr="00AC3330">
        <w:t xml:space="preserve">, Gabrieli </w:t>
      </w:r>
      <w:proofErr w:type="spellStart"/>
      <w:r w:rsidRPr="00AC3330">
        <w:t>Gargaś</w:t>
      </w:r>
      <w:proofErr w:type="spellEnd"/>
      <w:r w:rsidRPr="00AC3330">
        <w:t xml:space="preserve">, Doroty Gąsiorowskiej. Na  popularność tego typu literatury składa się prosta fabuła i możliwość utożsamiania się z  bohaterkami przeżywającymi problemy dziejące się tu i teraz.  Z zagranicznych pisarzy nadal chętnie czytywany jest </w:t>
      </w:r>
      <w:proofErr w:type="spellStart"/>
      <w:r w:rsidRPr="00AC3330">
        <w:t>Nikolas</w:t>
      </w:r>
      <w:proofErr w:type="spellEnd"/>
      <w:r w:rsidRPr="00AC3330">
        <w:t xml:space="preserve"> </w:t>
      </w:r>
      <w:proofErr w:type="spellStart"/>
      <w:r w:rsidRPr="00AC3330">
        <w:t>Sparks</w:t>
      </w:r>
      <w:proofErr w:type="spellEnd"/>
      <w:r w:rsidRPr="00AC3330">
        <w:t xml:space="preserve">, Richard Paul Evans, </w:t>
      </w:r>
      <w:proofErr w:type="spellStart"/>
      <w:r w:rsidRPr="00AC3330">
        <w:t>Jojo</w:t>
      </w:r>
      <w:proofErr w:type="spellEnd"/>
      <w:r w:rsidRPr="00AC3330">
        <w:t xml:space="preserve"> </w:t>
      </w:r>
      <w:proofErr w:type="spellStart"/>
      <w:r w:rsidRPr="00AC3330">
        <w:t>Moyes</w:t>
      </w:r>
      <w:proofErr w:type="spellEnd"/>
      <w:r w:rsidRPr="00AC3330">
        <w:t xml:space="preserve">, Guillaume </w:t>
      </w:r>
      <w:proofErr w:type="spellStart"/>
      <w:r w:rsidRPr="00AC3330">
        <w:t>Musso</w:t>
      </w:r>
      <w:proofErr w:type="spellEnd"/>
      <w:r w:rsidRPr="00AC3330">
        <w:t xml:space="preserve">. Wypożyczane są  także romanse </w:t>
      </w:r>
      <w:proofErr w:type="spellStart"/>
      <w:r w:rsidRPr="00AC3330">
        <w:t>Danielle</w:t>
      </w:r>
      <w:proofErr w:type="spellEnd"/>
      <w:r w:rsidRPr="00AC3330">
        <w:t xml:space="preserve"> Steel, Nory </w:t>
      </w:r>
      <w:proofErr w:type="spellStart"/>
      <w:r w:rsidRPr="00AC3330">
        <w:t>Roberts</w:t>
      </w:r>
      <w:proofErr w:type="spellEnd"/>
      <w:r w:rsidRPr="00AC3330">
        <w:t>, Diany Palmer oraz książki z ser</w:t>
      </w:r>
      <w:r w:rsidR="009365EA">
        <w:t xml:space="preserve">ii romans historyczny. Również w </w:t>
      </w:r>
      <w:r w:rsidRPr="00AC3330">
        <w:t xml:space="preserve">kategorii powieści kryminalnej i sensacyjnej czytelnicy preferowali polskich autorów: Dankę Braun, Katarzynę </w:t>
      </w:r>
      <w:proofErr w:type="spellStart"/>
      <w:r w:rsidRPr="00AC3330">
        <w:t>Bondę</w:t>
      </w:r>
      <w:proofErr w:type="spellEnd"/>
      <w:r w:rsidRPr="00AC3330">
        <w:t xml:space="preserve">, Katarzynę </w:t>
      </w:r>
      <w:proofErr w:type="spellStart"/>
      <w:r w:rsidRPr="00AC3330">
        <w:t>Puzyńską</w:t>
      </w:r>
      <w:proofErr w:type="spellEnd"/>
      <w:r w:rsidRPr="00AC3330">
        <w:t>, Remigiusza Mroza, Wojciecha Chmielarza. Do najbardziej poczytnych serii możemy zaliczyć „Kobiety to czytają”,  „Gorzką czekoladę”, „Białą czekoladę”, „Leniwą niedzielę”, „</w:t>
      </w:r>
      <w:r w:rsidR="009365EA">
        <w:t xml:space="preserve">Serię </w:t>
      </w:r>
      <w:r w:rsidRPr="00AC3330">
        <w:t>Szmaragdową”.  Wypożyczane są wieloczęściowe sagi skandynawskie. Nadal dużą popularnością, zwłaszcza wśród męskich czytelników cieszy się literatura science-</w:t>
      </w:r>
      <w:proofErr w:type="spellStart"/>
      <w:r w:rsidRPr="00AC3330">
        <w:t>fiction</w:t>
      </w:r>
      <w:proofErr w:type="spellEnd"/>
      <w:r w:rsidR="009365EA">
        <w:t xml:space="preserve"> </w:t>
      </w:r>
      <w:r w:rsidRPr="00AC3330">
        <w:t xml:space="preserve">i </w:t>
      </w:r>
      <w:proofErr w:type="spellStart"/>
      <w:r w:rsidRPr="00AC3330">
        <w:t>fantasy</w:t>
      </w:r>
      <w:proofErr w:type="spellEnd"/>
      <w:r w:rsidRPr="00AC3330">
        <w:t xml:space="preserve"> rep</w:t>
      </w:r>
      <w:r w:rsidR="009365EA">
        <w:t xml:space="preserve">rezentowana przez Marcina </w:t>
      </w:r>
      <w:proofErr w:type="spellStart"/>
      <w:r w:rsidR="009365EA">
        <w:t>Mortkę</w:t>
      </w:r>
      <w:proofErr w:type="spellEnd"/>
      <w:r w:rsidRPr="00AC3330">
        <w:t xml:space="preserve">, Maję Lidię Kossakowską, </w:t>
      </w:r>
      <w:proofErr w:type="spellStart"/>
      <w:r w:rsidRPr="00AC3330">
        <w:t>Terrego</w:t>
      </w:r>
      <w:proofErr w:type="spellEnd"/>
      <w:r w:rsidRPr="00AC3330">
        <w:t xml:space="preserve"> </w:t>
      </w:r>
      <w:proofErr w:type="spellStart"/>
      <w:r w:rsidRPr="00AC3330">
        <w:t>Goodkinda</w:t>
      </w:r>
      <w:proofErr w:type="spellEnd"/>
      <w:r w:rsidRPr="00AC3330">
        <w:t xml:space="preserve">. Chętnie wypożyczana jest powieść historyczna takich autorów jak Philippa Gregory, Simon </w:t>
      </w:r>
      <w:proofErr w:type="spellStart"/>
      <w:r w:rsidRPr="00AC3330">
        <w:t>Scarrow</w:t>
      </w:r>
      <w:proofErr w:type="spellEnd"/>
      <w:r w:rsidRPr="00AC3330">
        <w:t xml:space="preserve">, Robert </w:t>
      </w:r>
      <w:proofErr w:type="spellStart"/>
      <w:r w:rsidRPr="00AC3330">
        <w:t>Low</w:t>
      </w:r>
      <w:proofErr w:type="spellEnd"/>
      <w:r w:rsidRPr="00AC3330">
        <w:t>. Poszukiwane są reportaże</w:t>
      </w:r>
      <w:r w:rsidR="00795FDF">
        <w:t>,</w:t>
      </w:r>
      <w:r w:rsidRPr="00AC3330">
        <w:t xml:space="preserve"> szczególnie te dotyczące problematyki polskiej (Justyna Kopińska, Cezary </w:t>
      </w:r>
      <w:proofErr w:type="spellStart"/>
      <w:r w:rsidRPr="00AC3330">
        <w:t>Łazarewicz</w:t>
      </w:r>
      <w:proofErr w:type="spellEnd"/>
      <w:r w:rsidRPr="00AC3330">
        <w:t>).</w:t>
      </w:r>
    </w:p>
    <w:p w:rsidR="00AC3330" w:rsidRPr="00AC3330" w:rsidRDefault="00AC3330" w:rsidP="000C7CB1">
      <w:pPr>
        <w:jc w:val="both"/>
      </w:pPr>
      <w:r w:rsidRPr="00AC3330">
        <w:t>W literaturze popularnonaukowej pojawiły się nowe trendy czytelnicze. Pierwszy</w:t>
      </w:r>
      <w:r w:rsidR="00795FDF">
        <w:t>,</w:t>
      </w:r>
      <w:r w:rsidRPr="00AC3330">
        <w:t xml:space="preserve"> dotyczący spraw związanych ze zdrowiem opisanych w przystępny i zrozumiały sposób: „Historia wewnętrzna</w:t>
      </w:r>
      <w:r w:rsidR="009365EA">
        <w:t xml:space="preserve"> - </w:t>
      </w:r>
      <w:r w:rsidRPr="00AC3330">
        <w:t xml:space="preserve">Jelita” </w:t>
      </w:r>
      <w:proofErr w:type="spellStart"/>
      <w:r w:rsidRPr="00AC3330">
        <w:t>Giulii</w:t>
      </w:r>
      <w:proofErr w:type="spellEnd"/>
      <w:r w:rsidRPr="00AC3330">
        <w:t xml:space="preserve"> </w:t>
      </w:r>
      <w:proofErr w:type="spellStart"/>
      <w:r w:rsidRPr="00AC3330">
        <w:t>Enders</w:t>
      </w:r>
      <w:proofErr w:type="spellEnd"/>
      <w:r w:rsidRPr="00AC3330">
        <w:t>, „Historia wewnętrzna</w:t>
      </w:r>
      <w:r w:rsidR="00795FDF">
        <w:t xml:space="preserve"> - S</w:t>
      </w:r>
      <w:r w:rsidR="009365EA">
        <w:t xml:space="preserve">erce” Johannesa </w:t>
      </w:r>
      <w:proofErr w:type="spellStart"/>
      <w:r w:rsidR="009365EA">
        <w:t>Hinricha</w:t>
      </w:r>
      <w:proofErr w:type="spellEnd"/>
      <w:r w:rsidR="009365EA">
        <w:t xml:space="preserve"> von </w:t>
      </w:r>
      <w:proofErr w:type="spellStart"/>
      <w:r w:rsidRPr="00AC3330">
        <w:t>Borstel</w:t>
      </w:r>
      <w:proofErr w:type="spellEnd"/>
      <w:r w:rsidRPr="00AC3330">
        <w:t xml:space="preserve">. Drugi opisujący świat przyrody i zwierząt: „Sekretne życie drzew”, „Duchowe życie zwierząt” Petera </w:t>
      </w:r>
      <w:proofErr w:type="spellStart"/>
      <w:r w:rsidRPr="00AC3330">
        <w:t>Wohllebena</w:t>
      </w:r>
      <w:proofErr w:type="spellEnd"/>
      <w:r w:rsidRPr="00AC3330">
        <w:t xml:space="preserve">, „Rzecz o ptakach” </w:t>
      </w:r>
      <w:proofErr w:type="spellStart"/>
      <w:r w:rsidRPr="00AC3330">
        <w:t>Noah</w:t>
      </w:r>
      <w:proofErr w:type="spellEnd"/>
      <w:r w:rsidRPr="00AC3330">
        <w:t xml:space="preserve"> </w:t>
      </w:r>
      <w:proofErr w:type="spellStart"/>
      <w:r w:rsidRPr="00AC3330">
        <w:t>Stryckera</w:t>
      </w:r>
      <w:proofErr w:type="spellEnd"/>
      <w:r w:rsidRPr="00AC3330">
        <w:t>. Nadal jest wiele zapytań o książki związane ze  zdro</w:t>
      </w:r>
      <w:r w:rsidR="009365EA">
        <w:t xml:space="preserve">wym stylem życia, </w:t>
      </w:r>
      <w:r w:rsidRPr="00AC3330">
        <w:t xml:space="preserve">chorobami, ziołolecznictwem. Z </w:t>
      </w:r>
      <w:r w:rsidR="009365EA">
        <w:t> </w:t>
      </w:r>
      <w:r w:rsidRPr="00AC3330">
        <w:t>dziedziny psychologii czytelnicy najczęściej pyta</w:t>
      </w:r>
      <w:r w:rsidR="009365EA">
        <w:t>ją o poradniki dotyczące rozwoju osobistego</w:t>
      </w:r>
      <w:r w:rsidR="00795FDF">
        <w:t>:</w:t>
      </w:r>
      <w:r w:rsidRPr="00AC3330">
        <w:t xml:space="preserve"> Reginy </w:t>
      </w:r>
      <w:proofErr w:type="spellStart"/>
      <w:r w:rsidRPr="00AC3330">
        <w:t>Brett</w:t>
      </w:r>
      <w:proofErr w:type="spellEnd"/>
      <w:r w:rsidRPr="00AC3330">
        <w:t xml:space="preserve">, Katarzyny Miller, Wojciecha  Eichelbergera, </w:t>
      </w:r>
      <w:proofErr w:type="spellStart"/>
      <w:r w:rsidRPr="00AC3330">
        <w:t>Osho</w:t>
      </w:r>
      <w:proofErr w:type="spellEnd"/>
      <w:r w:rsidRPr="00AC3330">
        <w:t>. Często wypożycza</w:t>
      </w:r>
      <w:r w:rsidR="009365EA">
        <w:t>ne są książki z działu  historii,</w:t>
      </w:r>
      <w:r w:rsidRPr="00AC3330">
        <w:t xml:space="preserve"> zwłaszcza dotyczące okresu II wojny światowej. Ponadto czytelnicy pytają o książki podróżnicze i biograficzne.</w:t>
      </w:r>
    </w:p>
    <w:p w:rsidR="00AC3330" w:rsidRPr="00AC3330" w:rsidRDefault="00AC3330" w:rsidP="00AC3330">
      <w:pPr>
        <w:ind w:left="705" w:hanging="525"/>
        <w:jc w:val="both"/>
        <w:rPr>
          <w:rFonts w:eastAsia="Times New Roman"/>
          <w:lang w:eastAsia="pl-PL"/>
        </w:rPr>
      </w:pPr>
    </w:p>
    <w:p w:rsidR="00AC3330" w:rsidRPr="00AC3330" w:rsidRDefault="001B4E06" w:rsidP="001B4E06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4.1.1. </w:t>
      </w:r>
      <w:r w:rsidR="00AC3330" w:rsidRPr="00AC3330">
        <w:rPr>
          <w:rFonts w:eastAsia="Times New Roman"/>
          <w:lang w:eastAsia="pl-PL"/>
        </w:rPr>
        <w:t>Wydarzenia kulturalne, edukacyjne i promocyjne skierowane do czytelników dorosłych:</w:t>
      </w:r>
    </w:p>
    <w:p w:rsidR="00AC3330" w:rsidRPr="00AC3330" w:rsidRDefault="00AC3330" w:rsidP="00AC3330">
      <w:pPr>
        <w:ind w:left="705" w:hanging="525"/>
        <w:jc w:val="both"/>
        <w:rPr>
          <w:rFonts w:eastAsia="Times New Roman"/>
          <w:lang w:eastAsia="pl-PL"/>
        </w:rPr>
      </w:pPr>
    </w:p>
    <w:p w:rsid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„Sławkowska Manufaktura Mydła”</w:t>
      </w:r>
      <w:r w:rsidRPr="00AC3330">
        <w:rPr>
          <w:rFonts w:eastAsia="Times New Roman"/>
          <w:lang w:eastAsia="pl-PL"/>
        </w:rPr>
        <w:t xml:space="preserve"> – warsztaty domowego wyrabiania mydeł glicerynowych, zorganizowane z okazji Dnia Kobiet (08.03)</w:t>
      </w:r>
    </w:p>
    <w:p w:rsidR="001B4E06" w:rsidRDefault="001B4E06" w:rsidP="001B4E06">
      <w:pPr>
        <w:jc w:val="both"/>
        <w:rPr>
          <w:rFonts w:eastAsia="Times New Roman"/>
          <w:lang w:eastAsia="pl-PL"/>
        </w:rPr>
      </w:pP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Obchody Światowego Dnia Książki</w:t>
      </w:r>
      <w:r w:rsidRPr="00AC3330">
        <w:rPr>
          <w:rFonts w:eastAsia="Times New Roman"/>
          <w:lang w:eastAsia="pl-PL"/>
        </w:rPr>
        <w:t xml:space="preserve"> – stworzenie literackiej mapy Europy, książka-niespodzianka, biblioteczne zakładki do książek, losowanie inspirujących cytatów (22.04)</w:t>
      </w: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</w:p>
    <w:p w:rsidR="001B4E06" w:rsidRDefault="001B4E06" w:rsidP="001B4E06">
      <w:pPr>
        <w:jc w:val="both"/>
        <w:rPr>
          <w:rFonts w:eastAsia="Times New Roman"/>
          <w:lang w:eastAsia="pl-PL"/>
        </w:rPr>
      </w:pPr>
      <w:r w:rsidRPr="001B4E06">
        <w:rPr>
          <w:rFonts w:eastAsia="Times New Roman"/>
          <w:u w:val="single"/>
          <w:lang w:eastAsia="pl-PL"/>
        </w:rPr>
        <w:t xml:space="preserve">„Fotograf w podróży czyli jak zamienić swoje życie we wspaniałą przygodę przy pomocy aparatu fotograficznego lub </w:t>
      </w:r>
      <w:proofErr w:type="spellStart"/>
      <w:r w:rsidRPr="001B4E06">
        <w:rPr>
          <w:rFonts w:eastAsia="Times New Roman"/>
          <w:u w:val="single"/>
          <w:lang w:eastAsia="pl-PL"/>
        </w:rPr>
        <w:t>smartfona</w:t>
      </w:r>
      <w:proofErr w:type="spellEnd"/>
      <w:r w:rsidRPr="001B4E06">
        <w:rPr>
          <w:rFonts w:eastAsia="Times New Roman"/>
          <w:u w:val="single"/>
          <w:lang w:eastAsia="pl-PL"/>
        </w:rPr>
        <w:t>”</w:t>
      </w:r>
      <w:r w:rsidRPr="00AC3330">
        <w:rPr>
          <w:rFonts w:eastAsia="Times New Roman"/>
          <w:lang w:eastAsia="pl-PL"/>
        </w:rPr>
        <w:t xml:space="preserve"> – spotkanie z Jackiem Boneckim - spotkanie</w:t>
      </w:r>
      <w:r w:rsidR="008429DE">
        <w:rPr>
          <w:rFonts w:eastAsia="Times New Roman"/>
          <w:lang w:eastAsia="pl-PL"/>
        </w:rPr>
        <w:t xml:space="preserve"> było finansowane ze środków Instytutu Książki, w ramach działalności Dyskusyjnego Klubu Książki</w:t>
      </w:r>
      <w:r w:rsidR="00795FDF">
        <w:rPr>
          <w:rFonts w:eastAsia="Times New Roman"/>
          <w:lang w:eastAsia="pl-PL"/>
        </w:rPr>
        <w:t xml:space="preserve"> (09.05)</w:t>
      </w:r>
    </w:p>
    <w:p w:rsidR="001B4E06" w:rsidRPr="00AC3330" w:rsidRDefault="008429DE" w:rsidP="001B4E06">
      <w:pPr>
        <w:jc w:val="both"/>
        <w:rPr>
          <w:rFonts w:eastAsia="Times New Roman"/>
          <w:lang w:eastAsia="pl-PL"/>
        </w:rPr>
      </w:pPr>
      <w:r>
        <w:rPr>
          <w:rFonts w:eastAsia="Times New Roman"/>
          <w:u w:val="single"/>
          <w:lang w:eastAsia="pl-PL"/>
        </w:rPr>
        <w:lastRenderedPageBreak/>
        <w:t>„</w:t>
      </w:r>
      <w:proofErr w:type="spellStart"/>
      <w:r>
        <w:rPr>
          <w:rFonts w:eastAsia="Times New Roman"/>
          <w:u w:val="single"/>
          <w:lang w:eastAsia="pl-PL"/>
        </w:rPr>
        <w:t>Eskape</w:t>
      </w:r>
      <w:proofErr w:type="spellEnd"/>
      <w:r>
        <w:rPr>
          <w:rFonts w:eastAsia="Times New Roman"/>
          <w:u w:val="single"/>
          <w:lang w:eastAsia="pl-PL"/>
        </w:rPr>
        <w:t xml:space="preserve"> </w:t>
      </w:r>
      <w:proofErr w:type="spellStart"/>
      <w:r>
        <w:rPr>
          <w:rFonts w:eastAsia="Times New Roman"/>
          <w:u w:val="single"/>
          <w:lang w:eastAsia="pl-PL"/>
        </w:rPr>
        <w:t>room</w:t>
      </w:r>
      <w:proofErr w:type="spellEnd"/>
      <w:r>
        <w:rPr>
          <w:rFonts w:eastAsia="Times New Roman"/>
          <w:u w:val="single"/>
          <w:lang w:eastAsia="pl-PL"/>
        </w:rPr>
        <w:t xml:space="preserve"> w B</w:t>
      </w:r>
      <w:r w:rsidR="001B4E06" w:rsidRPr="00AC3330">
        <w:rPr>
          <w:rFonts w:eastAsia="Times New Roman"/>
          <w:u w:val="single"/>
          <w:lang w:eastAsia="pl-PL"/>
        </w:rPr>
        <w:t>ibliotece”</w:t>
      </w:r>
      <w:r w:rsidR="001B4E06" w:rsidRPr="00AC3330">
        <w:rPr>
          <w:rFonts w:eastAsia="Times New Roman"/>
          <w:lang w:eastAsia="pl-PL"/>
        </w:rPr>
        <w:t xml:space="preserve"> – zabawa dla czytelnik</w:t>
      </w:r>
      <w:r w:rsidR="00795FDF">
        <w:rPr>
          <w:rFonts w:eastAsia="Times New Roman"/>
          <w:lang w:eastAsia="pl-PL"/>
        </w:rPr>
        <w:t>ów zorganizowana</w:t>
      </w:r>
      <w:r w:rsidR="001B4E06" w:rsidRPr="00AC3330">
        <w:rPr>
          <w:rFonts w:eastAsia="Times New Roman"/>
          <w:lang w:eastAsia="pl-PL"/>
        </w:rPr>
        <w:t xml:space="preserve"> w ramach III </w:t>
      </w:r>
      <w:r>
        <w:rPr>
          <w:rFonts w:eastAsia="Times New Roman"/>
          <w:lang w:eastAsia="pl-PL"/>
        </w:rPr>
        <w:t> </w:t>
      </w:r>
      <w:r w:rsidR="001B4E06" w:rsidRPr="00AC3330">
        <w:rPr>
          <w:rFonts w:eastAsia="Times New Roman"/>
          <w:lang w:eastAsia="pl-PL"/>
        </w:rPr>
        <w:t>Ogólnopolskiej Nocy Bibliotek 2017 (03.06)</w:t>
      </w: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Kiermasz książek</w:t>
      </w:r>
      <w:r w:rsidR="00795FDF">
        <w:rPr>
          <w:rFonts w:eastAsia="Times New Roman"/>
          <w:lang w:eastAsia="pl-PL"/>
        </w:rPr>
        <w:t>, zorganizowany</w:t>
      </w:r>
      <w:r w:rsidRPr="00AC3330">
        <w:rPr>
          <w:rFonts w:eastAsia="Times New Roman"/>
          <w:lang w:eastAsia="pl-PL"/>
        </w:rPr>
        <w:t xml:space="preserve">  podczas „Jarmarku Jakubowego” – imprezy plenerowej Miejski</w:t>
      </w:r>
      <w:r w:rsidR="00795FDF">
        <w:rPr>
          <w:rFonts w:eastAsia="Times New Roman"/>
          <w:lang w:eastAsia="pl-PL"/>
        </w:rPr>
        <w:t>ego Ośrodka</w:t>
      </w:r>
      <w:r w:rsidRPr="00AC3330">
        <w:rPr>
          <w:rFonts w:eastAsia="Times New Roman"/>
          <w:lang w:eastAsia="pl-PL"/>
        </w:rPr>
        <w:t xml:space="preserve"> Kultury w Sławkowie (26.08)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proofErr w:type="spellStart"/>
      <w:r w:rsidRPr="00AC3330">
        <w:rPr>
          <w:rFonts w:eastAsia="Times New Roman"/>
          <w:u w:val="single"/>
          <w:lang w:eastAsia="pl-PL"/>
        </w:rPr>
        <w:t>Kazuo</w:t>
      </w:r>
      <w:proofErr w:type="spellEnd"/>
      <w:r w:rsidRPr="00AC3330">
        <w:rPr>
          <w:rFonts w:eastAsia="Times New Roman"/>
          <w:u w:val="single"/>
          <w:lang w:eastAsia="pl-PL"/>
        </w:rPr>
        <w:t xml:space="preserve"> </w:t>
      </w:r>
      <w:proofErr w:type="spellStart"/>
      <w:r w:rsidRPr="00AC3330">
        <w:rPr>
          <w:rFonts w:eastAsia="Times New Roman"/>
          <w:u w:val="single"/>
          <w:lang w:eastAsia="pl-PL"/>
        </w:rPr>
        <w:t>Ishiguro</w:t>
      </w:r>
      <w:proofErr w:type="spellEnd"/>
      <w:r w:rsidRPr="00AC3330">
        <w:rPr>
          <w:rFonts w:eastAsia="Times New Roman"/>
          <w:u w:val="single"/>
          <w:lang w:eastAsia="pl-PL"/>
        </w:rPr>
        <w:t xml:space="preserve"> laureatem Nagrody Nobla 2017</w:t>
      </w:r>
      <w:r w:rsidRPr="00AC3330">
        <w:rPr>
          <w:rFonts w:eastAsia="Times New Roman"/>
          <w:lang w:eastAsia="pl-PL"/>
        </w:rPr>
        <w:t xml:space="preserve"> – wystawa w holu bibliotecznym (06.10)</w:t>
      </w:r>
    </w:p>
    <w:p w:rsidR="00AC3330" w:rsidRPr="00AC3330" w:rsidRDefault="00AC3330" w:rsidP="001B4E06">
      <w:pPr>
        <w:ind w:hanging="540"/>
        <w:jc w:val="both"/>
        <w:outlineLvl w:val="0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</w:r>
    </w:p>
    <w:p w:rsidR="00AC3330" w:rsidRPr="00AC3330" w:rsidRDefault="00AC3330" w:rsidP="001B4E06">
      <w:pPr>
        <w:ind w:hanging="15"/>
        <w:jc w:val="both"/>
        <w:outlineLvl w:val="0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Spotkania Dyskusyjnego Klubu Książki</w:t>
      </w:r>
      <w:r w:rsidRPr="00AC3330">
        <w:rPr>
          <w:rFonts w:eastAsia="Times New Roman"/>
          <w:lang w:eastAsia="pl-PL"/>
        </w:rPr>
        <w:t xml:space="preserve"> – w 2017 roku odbyło się 9 spotkań DKK, w  których uczestniczyło średnio pięciu Klubowiczów. Każde ze spotkań trwało średnio dwie godziny.</w:t>
      </w:r>
    </w:p>
    <w:p w:rsidR="00AC3330" w:rsidRPr="001B4E06" w:rsidRDefault="00AC3330" w:rsidP="0007643A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</w:r>
    </w:p>
    <w:p w:rsidR="00AC3330" w:rsidRPr="00AC3330" w:rsidRDefault="001B4E06" w:rsidP="00AC3330">
      <w:pPr>
        <w:jc w:val="both"/>
        <w:rPr>
          <w:rFonts w:eastAsia="Times New Roman"/>
          <w:color w:val="C00000"/>
          <w:lang w:eastAsia="pl-PL"/>
        </w:rPr>
      </w:pPr>
      <w:r>
        <w:rPr>
          <w:rFonts w:eastAsia="Times New Roman"/>
          <w:lang w:eastAsia="pl-PL"/>
        </w:rPr>
        <w:t xml:space="preserve">4.2. </w:t>
      </w:r>
      <w:r w:rsidR="00AC3330" w:rsidRPr="00AC3330">
        <w:rPr>
          <w:rFonts w:eastAsia="Times New Roman"/>
          <w:lang w:eastAsia="pl-PL"/>
        </w:rPr>
        <w:t xml:space="preserve">Czytelnictwo dzieci i młodzieży w 2017 roku przedstawiało się następująco: </w:t>
      </w:r>
    </w:p>
    <w:p w:rsidR="00AC3330" w:rsidRPr="00AC3330" w:rsidRDefault="00AC3330" w:rsidP="00AC3330">
      <w:pPr>
        <w:ind w:left="180"/>
        <w:jc w:val="both"/>
        <w:rPr>
          <w:rFonts w:eastAsia="Times New Roman"/>
          <w:color w:val="C00000"/>
          <w:lang w:eastAsia="pl-PL"/>
        </w:rPr>
      </w:pPr>
    </w:p>
    <w:tbl>
      <w:tblPr>
        <w:tblStyle w:val="Tabela-Siatka"/>
        <w:tblW w:w="6886" w:type="dxa"/>
        <w:tblInd w:w="828" w:type="dxa"/>
        <w:tblLook w:val="01E0" w:firstRow="1" w:lastRow="1" w:firstColumn="1" w:lastColumn="1" w:noHBand="0" w:noVBand="0"/>
      </w:tblPr>
      <w:tblGrid>
        <w:gridCol w:w="2468"/>
        <w:gridCol w:w="1462"/>
        <w:gridCol w:w="1462"/>
        <w:gridCol w:w="1494"/>
      </w:tblGrid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ind w:left="720" w:hanging="720"/>
              <w:jc w:val="center"/>
              <w:rPr>
                <w:b/>
              </w:rPr>
            </w:pPr>
            <w:r w:rsidRPr="00AC3330">
              <w:rPr>
                <w:b/>
              </w:rPr>
              <w:t>Wiek w latach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  <w:rPr>
                <w:b/>
              </w:rPr>
            </w:pPr>
            <w:r w:rsidRPr="00AC3330">
              <w:rPr>
                <w:b/>
              </w:rPr>
              <w:t>2016r.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  <w:rPr>
                <w:b/>
              </w:rPr>
            </w:pPr>
            <w:r w:rsidRPr="00AC3330">
              <w:rPr>
                <w:b/>
              </w:rPr>
              <w:t>2017r.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  <w:rPr>
                <w:b/>
              </w:rPr>
            </w:pPr>
            <w:r w:rsidRPr="00AC3330">
              <w:rPr>
                <w:b/>
              </w:rPr>
              <w:t>Różnica</w:t>
            </w:r>
          </w:p>
        </w:tc>
      </w:tr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do 5 lat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54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jc w:val="both"/>
            </w:pPr>
            <w:r w:rsidRPr="00AC3330">
              <w:t>41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jc w:val="both"/>
            </w:pPr>
            <w:r w:rsidRPr="00AC3330">
              <w:t>-13</w:t>
            </w:r>
          </w:p>
        </w:tc>
      </w:tr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6 – 12 lat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r w:rsidRPr="00AC3330"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r w:rsidRPr="00AC3330">
              <w:t>-1</w:t>
            </w:r>
          </w:p>
        </w:tc>
      </w:tr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13 – 15 lat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r w:rsidRPr="00AC3330"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r w:rsidRPr="00AC3330">
              <w:t>bez zmian</w:t>
            </w:r>
          </w:p>
        </w:tc>
      </w:tr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16-19 lat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both"/>
            </w:pPr>
            <w:r w:rsidRPr="00AC3330">
              <w:t>143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jc w:val="both"/>
            </w:pPr>
            <w:r w:rsidRPr="00AC3330">
              <w:t>129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jc w:val="both"/>
            </w:pPr>
            <w:r w:rsidRPr="00AC3330">
              <w:t>-14</w:t>
            </w:r>
          </w:p>
        </w:tc>
      </w:tr>
      <w:tr w:rsidR="00AC3330" w:rsidRPr="00AC3330" w:rsidTr="00CF6F8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jc w:val="center"/>
              <w:rPr>
                <w:b/>
              </w:rPr>
            </w:pPr>
            <w:r w:rsidRPr="00AC3330">
              <w:rPr>
                <w:b/>
              </w:rPr>
              <w:t>Ogółem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30" w:rsidRPr="00AC3330" w:rsidRDefault="00AC3330" w:rsidP="00AC3330">
            <w:pPr>
              <w:rPr>
                <w:b/>
              </w:rPr>
            </w:pPr>
            <w:r w:rsidRPr="00AC3330">
              <w:rPr>
                <w:b/>
              </w:rPr>
              <w:t>558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rPr>
                <w:b/>
              </w:rPr>
            </w:pPr>
            <w:r w:rsidRPr="00AC3330">
              <w:rPr>
                <w:b/>
              </w:rPr>
              <w:t>530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0" w:rsidRPr="00AC3330" w:rsidRDefault="00AC3330" w:rsidP="00AC3330">
            <w:pPr>
              <w:rPr>
                <w:b/>
              </w:rPr>
            </w:pPr>
            <w:r w:rsidRPr="00AC3330">
              <w:rPr>
                <w:b/>
              </w:rPr>
              <w:t>-28</w:t>
            </w:r>
          </w:p>
        </w:tc>
      </w:tr>
    </w:tbl>
    <w:p w:rsidR="00AC3330" w:rsidRPr="00AC3330" w:rsidRDefault="00AC3330" w:rsidP="001B4E06">
      <w:pPr>
        <w:shd w:val="clear" w:color="auto" w:fill="FFFFFF"/>
        <w:spacing w:before="100" w:beforeAutospacing="1" w:after="100" w:afterAutospacing="1"/>
        <w:ind w:firstLine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Dzieci i młodzież stanowią 32% ogółu sławkowskich czytelników, nastąpił zatem spadek ich liczby w  stosunku do roku 2016, kiedy to </w:t>
      </w:r>
      <w:r w:rsidR="008429DE">
        <w:rPr>
          <w:rFonts w:eastAsia="Times New Roman"/>
          <w:lang w:eastAsia="pl-PL"/>
        </w:rPr>
        <w:t>stanowili 34% ogółu czytelników</w:t>
      </w:r>
      <w:r w:rsidRPr="00AC3330">
        <w:rPr>
          <w:rFonts w:eastAsia="Times New Roman"/>
          <w:lang w:eastAsia="pl-PL"/>
        </w:rPr>
        <w:t xml:space="preserve">. </w:t>
      </w:r>
      <w:r w:rsidRPr="00AC3330">
        <w:t>Dużą popularnością wśród najmłodszych czytelników cieszą się książki wspierające naukę czytan</w:t>
      </w:r>
      <w:r w:rsidR="008429DE">
        <w:t xml:space="preserve">ia: seria „Pierwsze czytanki”, </w:t>
      </w:r>
      <w:r w:rsidRPr="00AC3330">
        <w:t xml:space="preserve">seria „Czytam sobie”, seria „Pociąg z literkami” Łukasza Dębskiego, pozycje do nauki czytania metodą sylabową, </w:t>
      </w:r>
      <w:r w:rsidR="008429DE">
        <w:t xml:space="preserve">książki </w:t>
      </w:r>
      <w:r w:rsidRPr="00AC3330">
        <w:t>z dużymi literami. Dzieci chętnie sięgają po książki z ulubionymi bohaterami znanymi z bajek telewizyjnyc</w:t>
      </w:r>
      <w:r w:rsidR="00795FDF">
        <w:t xml:space="preserve">h: żółwiem Franklinem, świnką </w:t>
      </w:r>
      <w:proofErr w:type="spellStart"/>
      <w:r w:rsidR="00795FDF">
        <w:t>Peppą</w:t>
      </w:r>
      <w:proofErr w:type="spellEnd"/>
      <w:r w:rsidR="00795FDF">
        <w:t xml:space="preserve">, Bobem Budowniczym, </w:t>
      </w:r>
      <w:proofErr w:type="spellStart"/>
      <w:r w:rsidR="00795FDF">
        <w:t>Angry</w:t>
      </w:r>
      <w:proofErr w:type="spellEnd"/>
      <w:r w:rsidR="00795FDF">
        <w:t xml:space="preserve"> </w:t>
      </w:r>
      <w:proofErr w:type="spellStart"/>
      <w:r w:rsidR="00795FDF">
        <w:t>Birds</w:t>
      </w:r>
      <w:proofErr w:type="spellEnd"/>
      <w:r w:rsidR="00795FDF">
        <w:t>, Kubusiem Puchatkiem</w:t>
      </w:r>
      <w:r w:rsidRPr="00AC3330">
        <w:t xml:space="preserve">. Coraz więcej </w:t>
      </w:r>
      <w:proofErr w:type="spellStart"/>
      <w:r w:rsidRPr="00AC3330">
        <w:t>wypożyczeń</w:t>
      </w:r>
      <w:proofErr w:type="spellEnd"/>
      <w:r w:rsidRPr="00AC3330">
        <w:t xml:space="preserve"> mają książki z nowymi bohaterami: seria o Basi, seria Hej! Jędrek, seria o Hani Humorek. Ważnym elementem czytelnictwa najmłodszych są książki edukacyjne wyjaśniające w przystępny sposób dzieciom otaczający świat. Tu wyróżnić możemy serię „Wielkie problemy małych ludzi”, serię „Mądra mysz”, serię „Nasze przedszkole”. Niesłabnącą popularnością cieszy się literatura skandynawska, która z dużą dawką humoru podejmuje trudne tematy opisując problemy z punktu widzenia dziecka.  Wypożyczane są książki bez tekstu</w:t>
      </w:r>
      <w:r w:rsidR="008429DE">
        <w:t>,</w:t>
      </w:r>
      <w:r w:rsidRPr="00AC3330">
        <w:t xml:space="preserve"> bogate graficznie</w:t>
      </w:r>
      <w:r w:rsidR="008429DE">
        <w:t>,</w:t>
      </w:r>
      <w:r w:rsidR="00795FDF">
        <w:t xml:space="preserve"> wspomagające kreatywność</w:t>
      </w:r>
      <w:r w:rsidRPr="00AC3330">
        <w:t xml:space="preserve"> </w:t>
      </w:r>
      <w:r w:rsidR="00795FDF">
        <w:t xml:space="preserve">(np. </w:t>
      </w:r>
      <w:r w:rsidR="00C2772A">
        <w:t>„Mapy”  Aleksandry i Daniela Mizielińskich)</w:t>
      </w:r>
      <w:r w:rsidRPr="00AC3330">
        <w:t>.</w:t>
      </w:r>
      <w:r w:rsidR="008429DE">
        <w:t xml:space="preserve"> </w:t>
      </w:r>
      <w:r w:rsidRPr="00AC3330">
        <w:t xml:space="preserve">Starsze dzieci najchętniej wypożyczają serię „Przygody </w:t>
      </w:r>
      <w:proofErr w:type="spellStart"/>
      <w:r w:rsidRPr="00AC3330">
        <w:t>Lassego</w:t>
      </w:r>
      <w:proofErr w:type="spellEnd"/>
      <w:r w:rsidRPr="00AC3330">
        <w:t xml:space="preserve"> i </w:t>
      </w:r>
      <w:r w:rsidR="001B4E06">
        <w:t> </w:t>
      </w:r>
      <w:r w:rsidRPr="00AC3330">
        <w:t xml:space="preserve">Mai” Martina </w:t>
      </w:r>
      <w:proofErr w:type="spellStart"/>
      <w:r w:rsidRPr="00AC3330">
        <w:t>Widmarka</w:t>
      </w:r>
      <w:proofErr w:type="spellEnd"/>
      <w:r w:rsidRPr="00AC3330">
        <w:t xml:space="preserve">, „Kroniki </w:t>
      </w:r>
      <w:proofErr w:type="spellStart"/>
      <w:r w:rsidRPr="00AC3330">
        <w:t>Archeo</w:t>
      </w:r>
      <w:proofErr w:type="spellEnd"/>
      <w:r w:rsidRPr="00AC3330">
        <w:t>” Agnieszki Stelmaszczyk oraz cykl książek podróżniczych o Neli. Nadal zainteresowanie wzbudza dobrze znany „Dz</w:t>
      </w:r>
      <w:r w:rsidR="00C2772A">
        <w:t xml:space="preserve">iennik Cwaniaczka” Jeffa </w:t>
      </w:r>
      <w:proofErr w:type="spellStart"/>
      <w:r w:rsidR="00C2772A">
        <w:t>Kinney</w:t>
      </w:r>
      <w:proofErr w:type="spellEnd"/>
      <w:r w:rsidR="00C2772A">
        <w:t xml:space="preserve"> oraz</w:t>
      </w:r>
      <w:r w:rsidRPr="00AC3330">
        <w:t xml:space="preserve"> „Koszmarny Karolek” </w:t>
      </w:r>
      <w:proofErr w:type="spellStart"/>
      <w:r w:rsidRPr="00AC3330">
        <w:t>Franceska</w:t>
      </w:r>
      <w:proofErr w:type="spellEnd"/>
      <w:r w:rsidRPr="00AC3330">
        <w:t xml:space="preserve"> Simon. Nowym aspektem w czytelnictwie dzieci starszych jest zainteresowanie problematyką uchodźstwa i tolerancji: „Hebanowe serce” Renaty Piątkowskiej, „Chłopiec z Lampedusy” Rafała Witka.</w:t>
      </w:r>
      <w:r w:rsidR="008429DE">
        <w:t xml:space="preserve"> </w:t>
      </w:r>
      <w:r w:rsidRPr="00AC3330">
        <w:t xml:space="preserve">W czytelnictwie młodzieży można zaobserwować stopniowe odchodzenie od literatury baśniowej i </w:t>
      </w:r>
      <w:r w:rsidR="001B4E06">
        <w:t> </w:t>
      </w:r>
      <w:proofErr w:type="spellStart"/>
      <w:r w:rsidRPr="00AC3330">
        <w:t>postapokaliptycznej</w:t>
      </w:r>
      <w:proofErr w:type="spellEnd"/>
      <w:r w:rsidRPr="00AC3330">
        <w:t xml:space="preserve"> na rzecz książek realnie opisujących świat i jego aspekty. Młodzi ludzie szukają w </w:t>
      </w:r>
      <w:r w:rsidR="001B4E06">
        <w:t> </w:t>
      </w:r>
      <w:r w:rsidRPr="00AC3330">
        <w:t>książkach odpowiedzi na nurtujące ich problemy: kłopoty rodzinne</w:t>
      </w:r>
      <w:r w:rsidRPr="00AC3330">
        <w:rPr>
          <w:rFonts w:eastAsia="Times New Roman"/>
          <w:lang w:eastAsia="pl-PL"/>
        </w:rPr>
        <w:t xml:space="preserve"> </w:t>
      </w:r>
      <w:r w:rsidRPr="00AC3330">
        <w:t>i szk</w:t>
      </w:r>
      <w:r w:rsidR="00C2772A">
        <w:t>olne, pierwsze miłości, kontakty</w:t>
      </w:r>
      <w:r w:rsidRPr="00AC3330">
        <w:t xml:space="preserve"> z </w:t>
      </w:r>
      <w:r w:rsidR="001B4E06">
        <w:t> </w:t>
      </w:r>
      <w:r w:rsidRPr="00AC3330">
        <w:t>rówieśnikami</w:t>
      </w:r>
      <w:r w:rsidR="008429DE">
        <w:t>,</w:t>
      </w:r>
      <w:r w:rsidRPr="00AC3330">
        <w:t xml:space="preserve"> np. „13 powodów”  </w:t>
      </w:r>
      <w:proofErr w:type="spellStart"/>
      <w:r w:rsidRPr="00AC3330">
        <w:t>Jay</w:t>
      </w:r>
      <w:proofErr w:type="spellEnd"/>
      <w:r w:rsidRPr="00AC3330">
        <w:t xml:space="preserve"> </w:t>
      </w:r>
      <w:proofErr w:type="spellStart"/>
      <w:r w:rsidRPr="00AC3330">
        <w:t>Asher</w:t>
      </w:r>
      <w:proofErr w:type="spellEnd"/>
      <w:r w:rsidRPr="00AC3330">
        <w:t xml:space="preserve">. Wypożyczana jest Ewa Nowak,  Adam Lang, Anna Łacina,  </w:t>
      </w:r>
      <w:proofErr w:type="spellStart"/>
      <w:r w:rsidRPr="00AC3330">
        <w:t>Colleen</w:t>
      </w:r>
      <w:proofErr w:type="spellEnd"/>
      <w:r w:rsidRPr="00AC3330">
        <w:t xml:space="preserve"> Hoover, John Green, </w:t>
      </w:r>
      <w:proofErr w:type="spellStart"/>
      <w:r w:rsidRPr="00AC3330">
        <w:t>Gayle</w:t>
      </w:r>
      <w:proofErr w:type="spellEnd"/>
      <w:r w:rsidRPr="00AC3330">
        <w:t xml:space="preserve"> Forman, David </w:t>
      </w:r>
      <w:proofErr w:type="spellStart"/>
      <w:r w:rsidRPr="00AC3330">
        <w:t>Levithan</w:t>
      </w:r>
      <w:proofErr w:type="spellEnd"/>
      <w:r w:rsidRPr="00AC3330">
        <w:t>. Chłopcy wypożyczają serie „Zwiadowc</w:t>
      </w:r>
      <w:r w:rsidR="008429DE">
        <w:t xml:space="preserve">y” Johna Flanagan, „Gladiator” </w:t>
      </w:r>
      <w:r w:rsidRPr="00AC3330">
        <w:t xml:space="preserve">Simona </w:t>
      </w:r>
      <w:proofErr w:type="spellStart"/>
      <w:r w:rsidRPr="00AC3330">
        <w:t>Scarrow</w:t>
      </w:r>
      <w:proofErr w:type="spellEnd"/>
      <w:r w:rsidRPr="00AC3330">
        <w:t xml:space="preserve">. Czytana jest </w:t>
      </w:r>
      <w:r w:rsidR="008429DE">
        <w:t xml:space="preserve">także literatura </w:t>
      </w:r>
      <w:proofErr w:type="spellStart"/>
      <w:r w:rsidR="008429DE">
        <w:t>fantazy</w:t>
      </w:r>
      <w:proofErr w:type="spellEnd"/>
      <w:r w:rsidRPr="00AC3330">
        <w:t xml:space="preserve"> dla dorosłych</w:t>
      </w:r>
      <w:r w:rsidR="008429DE">
        <w:t>:</w:t>
      </w:r>
      <w:r w:rsidRPr="00AC3330">
        <w:t xml:space="preserve"> George R.R. Martin, </w:t>
      </w:r>
      <w:proofErr w:type="spellStart"/>
      <w:r w:rsidRPr="00AC3330">
        <w:t>Trudi</w:t>
      </w:r>
      <w:proofErr w:type="spellEnd"/>
      <w:r w:rsidRPr="00AC3330">
        <w:t xml:space="preserve">  </w:t>
      </w:r>
      <w:proofErr w:type="spellStart"/>
      <w:r w:rsidRPr="00AC3330">
        <w:t>Canavan</w:t>
      </w:r>
      <w:proofErr w:type="spellEnd"/>
      <w:r w:rsidRPr="00AC3330">
        <w:t>, Andrzej Sapkowski. Można odnotow</w:t>
      </w:r>
      <w:r w:rsidR="008429DE">
        <w:t xml:space="preserve">ać także dużą liczbę </w:t>
      </w:r>
      <w:proofErr w:type="spellStart"/>
      <w:r w:rsidR="008429DE">
        <w:t>wypożyczeń</w:t>
      </w:r>
      <w:proofErr w:type="spellEnd"/>
      <w:r w:rsidRPr="00AC3330">
        <w:t xml:space="preserve"> lektur</w:t>
      </w:r>
      <w:r w:rsidR="008429DE">
        <w:t>,</w:t>
      </w:r>
      <w:r w:rsidRPr="00AC3330">
        <w:t xml:space="preserve"> sukcesywnie uzupełnianych przez Bibliotekę.</w:t>
      </w:r>
    </w:p>
    <w:p w:rsidR="00AC3330" w:rsidRPr="00AC3330" w:rsidRDefault="001B4E06" w:rsidP="00AC3330">
      <w:pPr>
        <w:ind w:left="705" w:hanging="70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4</w:t>
      </w:r>
      <w:r w:rsidR="00AC3330" w:rsidRPr="00AC3330">
        <w:rPr>
          <w:rFonts w:eastAsia="Times New Roman"/>
          <w:lang w:eastAsia="pl-PL"/>
        </w:rPr>
        <w:t>.2.1</w:t>
      </w:r>
      <w:r w:rsidR="00AC3330" w:rsidRPr="00AC3330">
        <w:rPr>
          <w:rFonts w:eastAsia="Times New Roman"/>
          <w:lang w:eastAsia="pl-PL"/>
        </w:rPr>
        <w:tab/>
        <w:t>Wydarzenia kulturalne, edukacyjne i promocyjne skierowane do dzieci i młodzieży:</w:t>
      </w:r>
    </w:p>
    <w:p w:rsidR="00AC3330" w:rsidRPr="00AC3330" w:rsidRDefault="00AC3330" w:rsidP="00AC3330">
      <w:pPr>
        <w:ind w:left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„Ferie z Dinozaurami”</w:t>
      </w:r>
      <w:r w:rsidRPr="00AC3330">
        <w:rPr>
          <w:rFonts w:eastAsia="Times New Roman"/>
          <w:lang w:eastAsia="pl-PL"/>
        </w:rPr>
        <w:t xml:space="preserve"> - cykl zajęć dla dzieci w wie</w:t>
      </w:r>
      <w:r w:rsidR="008429DE">
        <w:rPr>
          <w:rFonts w:eastAsia="Times New Roman"/>
          <w:lang w:eastAsia="pl-PL"/>
        </w:rPr>
        <w:t>ku od 6 do 12 lat, zorganizowany</w:t>
      </w:r>
      <w:r w:rsidRPr="00AC3330">
        <w:rPr>
          <w:rFonts w:eastAsia="Times New Roman"/>
          <w:lang w:eastAsia="pl-PL"/>
        </w:rPr>
        <w:t xml:space="preserve"> podczas ferii zimowych. W ramach zajęć zorganizowano m.in.: zajęcia plastyczne, quiz o dinozaurach, pieczenie ciaste</w:t>
      </w:r>
      <w:r w:rsidR="008429DE">
        <w:rPr>
          <w:rFonts w:eastAsia="Times New Roman"/>
          <w:lang w:eastAsia="pl-PL"/>
        </w:rPr>
        <w:t>czek w kształcie dinozaurów, grę terenową</w:t>
      </w:r>
      <w:r w:rsidRPr="00AC3330">
        <w:rPr>
          <w:rFonts w:eastAsia="Times New Roman"/>
          <w:lang w:eastAsia="pl-PL"/>
        </w:rPr>
        <w:t xml:space="preserve"> „Po</w:t>
      </w:r>
      <w:r w:rsidR="008429DE">
        <w:rPr>
          <w:rFonts w:eastAsia="Times New Roman"/>
          <w:lang w:eastAsia="pl-PL"/>
        </w:rPr>
        <w:t>szukiwa</w:t>
      </w:r>
      <w:r w:rsidR="00C2772A">
        <w:rPr>
          <w:rFonts w:eastAsia="Times New Roman"/>
          <w:lang w:eastAsia="pl-PL"/>
        </w:rPr>
        <w:t>nie zaginionego jaja”, tworzenie</w:t>
      </w:r>
      <w:r w:rsidRPr="00AC3330">
        <w:rPr>
          <w:rFonts w:eastAsia="Times New Roman"/>
          <w:lang w:eastAsia="pl-PL"/>
        </w:rPr>
        <w:t xml:space="preserve"> magnesów z motywem dinozaurów. Na zakończenie zajęć zorganizowano wystawę, na której zaprezentow</w:t>
      </w:r>
      <w:r w:rsidR="008429DE">
        <w:rPr>
          <w:rFonts w:eastAsia="Times New Roman"/>
          <w:lang w:eastAsia="pl-PL"/>
        </w:rPr>
        <w:t>ane zostały wszystkie prace</w:t>
      </w:r>
      <w:r w:rsidRPr="00AC3330">
        <w:rPr>
          <w:rFonts w:eastAsia="Times New Roman"/>
          <w:lang w:eastAsia="pl-PL"/>
        </w:rPr>
        <w:t xml:space="preserve"> dzieci (12.01, 17.01, 19.01, 24.01, 26.01)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„Czytanie na dywanie”</w:t>
      </w:r>
      <w:r w:rsidRPr="00AC3330">
        <w:rPr>
          <w:rFonts w:eastAsia="Times New Roman"/>
          <w:lang w:eastAsia="pl-PL"/>
        </w:rPr>
        <w:t xml:space="preserve"> – zajęcia dla przedszkolaków, których motywem przewodnim były dinozaury (22.02)</w:t>
      </w:r>
    </w:p>
    <w:p w:rsidR="00AC3330" w:rsidRPr="00AC3330" w:rsidRDefault="00AC3330" w:rsidP="001B4E06">
      <w:pPr>
        <w:ind w:hanging="15"/>
        <w:jc w:val="both"/>
        <w:rPr>
          <w:rFonts w:eastAsia="Times New Roman"/>
          <w:color w:val="C00000"/>
          <w:u w:val="single"/>
          <w:lang w:eastAsia="pl-PL"/>
        </w:rPr>
      </w:pPr>
    </w:p>
    <w:p w:rsidR="00AC3330" w:rsidRPr="00AC3330" w:rsidRDefault="00AC3330" w:rsidP="001B4E06">
      <w:pPr>
        <w:ind w:hanging="1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XXIII Regionalny Konkurs Recytatorski</w:t>
      </w:r>
      <w:r w:rsidRPr="00AC3330">
        <w:rPr>
          <w:rFonts w:eastAsia="Times New Roman"/>
          <w:lang w:eastAsia="pl-PL"/>
        </w:rPr>
        <w:t xml:space="preserve"> dla uczniów szkół podstawowych i gimnazjalnych, zorganizowany we </w:t>
      </w:r>
      <w:r w:rsidR="00C2772A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>współpracy z Miejskim Ośrodkiem Kultury w Sławkowie (15.03)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„Biblioteki świata”</w:t>
      </w:r>
      <w:r w:rsidRPr="00AC3330">
        <w:rPr>
          <w:rFonts w:eastAsia="Times New Roman"/>
          <w:lang w:eastAsia="pl-PL"/>
        </w:rPr>
        <w:t xml:space="preserve"> – lekcja biblioteczna dla I klasy LO w Sławkowie dotycząca najciekawszych bibliotek w </w:t>
      </w:r>
      <w:r w:rsidR="00C2772A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>Polsce i na świecie (23.03)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„Prawo autorskie”</w:t>
      </w:r>
      <w:r w:rsidRPr="00AC3330">
        <w:rPr>
          <w:rFonts w:eastAsia="Times New Roman"/>
          <w:lang w:eastAsia="pl-PL"/>
        </w:rPr>
        <w:t xml:space="preserve"> - lekcja biblioteczna dla I klasy LO w Sławkowie dotycząca prawa autorskiego (30.03, 22.11)</w:t>
      </w: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„Noc z Andersenem”</w:t>
      </w:r>
      <w:r w:rsidRPr="00AC3330">
        <w:rPr>
          <w:rFonts w:eastAsia="Times New Roman"/>
          <w:lang w:eastAsia="pl-PL"/>
        </w:rPr>
        <w:t xml:space="preserve"> – całonocna impreza czytelnicza dla uczniów klas trzecich Szkoły Podstawowej, zorganizowana z okazji międzynarodowych obchodów urodzin C.H. Andersena oraz Międzynarodowego Dnia Książki Dziecięcej i (31.03/01.04)</w:t>
      </w:r>
    </w:p>
    <w:p w:rsidR="001B4E06" w:rsidRDefault="001B4E06" w:rsidP="001B4E06">
      <w:pPr>
        <w:jc w:val="both"/>
        <w:rPr>
          <w:rFonts w:eastAsia="Times New Roman"/>
          <w:u w:val="single"/>
          <w:lang w:eastAsia="pl-PL"/>
        </w:rPr>
      </w:pPr>
    </w:p>
    <w:p w:rsidR="001B4E06" w:rsidRPr="00AC3330" w:rsidRDefault="001B4E06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„W wiosce Smerfów”</w:t>
      </w:r>
      <w:r w:rsidRPr="00AC3330">
        <w:rPr>
          <w:rFonts w:eastAsia="Times New Roman"/>
          <w:lang w:eastAsia="pl-PL"/>
        </w:rPr>
        <w:t xml:space="preserve"> – zajęcia dla przedszkolaków</w:t>
      </w:r>
      <w:r w:rsidR="0090471B">
        <w:rPr>
          <w:rFonts w:eastAsia="Times New Roman"/>
          <w:lang w:eastAsia="pl-PL"/>
        </w:rPr>
        <w:t>,</w:t>
      </w:r>
      <w:r w:rsidRPr="00AC3330">
        <w:rPr>
          <w:rFonts w:eastAsia="Times New Roman"/>
          <w:lang w:eastAsia="pl-PL"/>
        </w:rPr>
        <w:t xml:space="preserve"> zorganizowane w ramach XVI Ogólnopolskiego Tygodnia Czytania Dzieciom (06.06)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Warsztaty kreatywnego pisania „</w:t>
      </w:r>
      <w:proofErr w:type="spellStart"/>
      <w:r w:rsidRPr="00AC3330">
        <w:rPr>
          <w:rFonts w:eastAsia="Times New Roman"/>
          <w:u w:val="single"/>
          <w:lang w:eastAsia="pl-PL"/>
        </w:rPr>
        <w:t>Loesje</w:t>
      </w:r>
      <w:proofErr w:type="spellEnd"/>
      <w:r w:rsidRPr="00AC3330">
        <w:rPr>
          <w:rFonts w:eastAsia="Times New Roman"/>
          <w:u w:val="single"/>
          <w:lang w:eastAsia="pl-PL"/>
        </w:rPr>
        <w:t>”</w:t>
      </w:r>
      <w:r w:rsidRPr="00AC3330">
        <w:rPr>
          <w:rFonts w:eastAsia="Times New Roman"/>
          <w:lang w:eastAsia="pl-PL"/>
        </w:rPr>
        <w:t xml:space="preserve"> dla uczniów I </w:t>
      </w:r>
      <w:proofErr w:type="spellStart"/>
      <w:r w:rsidRPr="00AC3330">
        <w:rPr>
          <w:rFonts w:eastAsia="Times New Roman"/>
          <w:lang w:eastAsia="pl-PL"/>
        </w:rPr>
        <w:t>i</w:t>
      </w:r>
      <w:proofErr w:type="spellEnd"/>
      <w:r w:rsidRPr="00AC3330">
        <w:rPr>
          <w:rFonts w:eastAsia="Times New Roman"/>
          <w:lang w:eastAsia="pl-PL"/>
        </w:rPr>
        <w:t xml:space="preserve"> II klas LO w Sławkowie prowadzone przez Jana Lipeckiego (10.05)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„Wielka praca małej pszczoły”</w:t>
      </w:r>
      <w:r w:rsidRPr="00AC3330">
        <w:rPr>
          <w:rFonts w:eastAsia="Times New Roman"/>
          <w:lang w:eastAsia="pl-PL"/>
        </w:rPr>
        <w:t xml:space="preserve"> – warsztaty pszczelarskie dla przedszkolaków prowadzone przez Mieczysława Szlęzaka (11.05)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90471B" w:rsidP="001B4E06">
      <w:pPr>
        <w:jc w:val="both"/>
        <w:rPr>
          <w:rFonts w:eastAsia="Times New Roman"/>
          <w:lang w:eastAsia="pl-PL"/>
        </w:rPr>
      </w:pPr>
      <w:r>
        <w:rPr>
          <w:rFonts w:eastAsia="Times New Roman"/>
          <w:u w:val="single"/>
          <w:lang w:eastAsia="pl-PL"/>
        </w:rPr>
        <w:t>„Z biblioteką</w:t>
      </w:r>
      <w:r w:rsidR="00AC3330" w:rsidRPr="00AC3330">
        <w:rPr>
          <w:rFonts w:eastAsia="Times New Roman"/>
          <w:u w:val="single"/>
          <w:lang w:eastAsia="pl-PL"/>
        </w:rPr>
        <w:t xml:space="preserve"> dookoła świata”</w:t>
      </w:r>
      <w:r w:rsidR="00AC3330" w:rsidRPr="00AC3330">
        <w:rPr>
          <w:rFonts w:eastAsia="Times New Roman"/>
          <w:sz w:val="24"/>
          <w:szCs w:val="24"/>
          <w:lang w:eastAsia="pl-PL"/>
        </w:rPr>
        <w:t xml:space="preserve"> </w:t>
      </w:r>
      <w:r w:rsidR="00AC3330" w:rsidRPr="00AC3330">
        <w:rPr>
          <w:rFonts w:eastAsia="Times New Roman"/>
          <w:lang w:eastAsia="pl-PL"/>
        </w:rPr>
        <w:t>– cykl spotkań dla dzieci w wieku od 6 do 12 lat, odbywające się w każdą wakacyjną środę, w godzinach od 12.00 do 14.00. W ramach zajęć miały miejsce m. in.: nauka jedzenia pałeczkami (Chiny), wykonanie własnego lasu tropikalnego w wersji mini (Brazylia), budowa statku pirackiego (Karaiby), wykonanie zbożowych mandali (Indie)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</w:t>
      </w:r>
      <w:proofErr w:type="spellStart"/>
      <w:r w:rsidRPr="00AC3330">
        <w:rPr>
          <w:rFonts w:eastAsia="Times New Roman"/>
          <w:u w:val="single"/>
          <w:lang w:eastAsia="pl-PL"/>
        </w:rPr>
        <w:t>Benio</w:t>
      </w:r>
      <w:proofErr w:type="spellEnd"/>
      <w:r w:rsidRPr="00AC3330">
        <w:rPr>
          <w:rFonts w:eastAsia="Times New Roman"/>
          <w:u w:val="single"/>
          <w:lang w:eastAsia="pl-PL"/>
        </w:rPr>
        <w:t xml:space="preserve"> w opałach”</w:t>
      </w:r>
      <w:r w:rsidRPr="00AC3330">
        <w:rPr>
          <w:rFonts w:eastAsia="Times New Roman"/>
          <w:color w:val="C00000"/>
          <w:lang w:eastAsia="pl-PL"/>
        </w:rPr>
        <w:t xml:space="preserve"> </w:t>
      </w:r>
      <w:r w:rsidRPr="00AC3330">
        <w:rPr>
          <w:rFonts w:eastAsia="Times New Roman"/>
          <w:lang w:eastAsia="pl-PL"/>
        </w:rPr>
        <w:t>– przedstawienie teatralne dla dzieci, w wykonaniu krakowskiego teatru TAK (12.10)</w:t>
      </w:r>
    </w:p>
    <w:p w:rsidR="00C2772A" w:rsidRDefault="00C2772A" w:rsidP="001B4E06">
      <w:pPr>
        <w:jc w:val="both"/>
        <w:rPr>
          <w:rFonts w:eastAsia="Times New Roman"/>
          <w:u w:val="single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„Śladami Konrada”</w:t>
      </w:r>
      <w:r w:rsidRPr="00AC3330">
        <w:rPr>
          <w:rFonts w:eastAsia="Times New Roman"/>
          <w:lang w:eastAsia="pl-PL"/>
        </w:rPr>
        <w:t xml:space="preserve"> – lekcja biblioteczna dla uczniów I klasy LO w Sławkowie (08.11)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„Świadome zakupy”</w:t>
      </w:r>
      <w:r w:rsidRPr="00AC3330">
        <w:rPr>
          <w:rFonts w:eastAsia="Times New Roman"/>
          <w:lang w:eastAsia="pl-PL"/>
        </w:rPr>
        <w:t xml:space="preserve"> – zajęcia dla przedszkolaków zorganizowane z okazji Tygodnia Edukacji Globalnej (16.11)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„Poznajemy bibliotekę”</w:t>
      </w:r>
      <w:r w:rsidRPr="00AC3330">
        <w:rPr>
          <w:rFonts w:eastAsia="Times New Roman"/>
          <w:lang w:eastAsia="pl-PL"/>
        </w:rPr>
        <w:t xml:space="preserve"> – lekcja biblioteczna dla uczniów I klasy SP nr 2 w Sławkowie (07.12)</w:t>
      </w:r>
    </w:p>
    <w:p w:rsidR="00AC3330" w:rsidRPr="00AC3330" w:rsidRDefault="00AC3330" w:rsidP="001B4E06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Ponadto w Bibliotece miały miejsce mniej formalne spotkania i wizyty przedszkolaków, podczas których prezentowano książki na wybrany temat oraz głośno czytano bajki i wierszyki. W 2017 roku odbyło się 5 </w:t>
      </w:r>
      <w:r w:rsidR="0090471B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 xml:space="preserve">spotkań tego typu. 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1B4E06" w:rsidP="00AC33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5. </w:t>
      </w:r>
      <w:r w:rsidR="00AC3330" w:rsidRPr="00AC3330">
        <w:rPr>
          <w:rFonts w:eastAsia="Times New Roman"/>
          <w:b/>
          <w:lang w:eastAsia="pl-PL"/>
        </w:rPr>
        <w:t>Obsługa osób niepełnosprawnych i specjalnych grup użytkowników.</w:t>
      </w:r>
    </w:p>
    <w:p w:rsidR="00AC3330" w:rsidRPr="00AC3330" w:rsidRDefault="00AC3330" w:rsidP="00AC3330">
      <w:pPr>
        <w:jc w:val="both"/>
        <w:outlineLvl w:val="0"/>
        <w:rPr>
          <w:rFonts w:eastAsia="Times New Roman"/>
          <w:b/>
          <w:color w:val="C00000"/>
          <w:lang w:eastAsia="pl-PL"/>
        </w:rPr>
      </w:pPr>
    </w:p>
    <w:p w:rsidR="00AC3330" w:rsidRPr="00AC3330" w:rsidRDefault="0090471B" w:rsidP="001B4E06">
      <w:pPr>
        <w:ind w:firstLine="708"/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2017 roku B</w:t>
      </w:r>
      <w:r w:rsidR="00AC3330" w:rsidRPr="00AC3330">
        <w:rPr>
          <w:rFonts w:eastAsia="Times New Roman"/>
          <w:lang w:eastAsia="pl-PL"/>
        </w:rPr>
        <w:t xml:space="preserve">iblioteka po raz kolejny włączyła się w obchody Tygodnia Seniora. 19 października w  jej murach odbyły się </w:t>
      </w:r>
      <w:r w:rsidR="00AC3330" w:rsidRPr="00AC3330">
        <w:rPr>
          <w:rFonts w:eastAsia="Times New Roman"/>
          <w:b/>
          <w:lang w:eastAsia="pl-PL"/>
        </w:rPr>
        <w:t>warsztaty florystyczne</w:t>
      </w:r>
      <w:r w:rsidR="00AC3330" w:rsidRPr="00AC3330">
        <w:rPr>
          <w:rFonts w:eastAsia="Times New Roman"/>
          <w:lang w:eastAsia="pl-PL"/>
        </w:rPr>
        <w:t>, których tematem przewodnim było tworzenie jesiennych kompozycji</w:t>
      </w:r>
      <w:r w:rsidR="00C2772A">
        <w:rPr>
          <w:rFonts w:eastAsia="Times New Roman"/>
          <w:lang w:eastAsia="pl-PL"/>
        </w:rPr>
        <w:t xml:space="preserve"> roślinnych</w:t>
      </w:r>
      <w:r w:rsidR="00AC3330" w:rsidRPr="00AC3330">
        <w:rPr>
          <w:rFonts w:eastAsia="Times New Roman"/>
          <w:b/>
          <w:lang w:eastAsia="pl-PL"/>
        </w:rPr>
        <w:t xml:space="preserve">. </w:t>
      </w:r>
      <w:r w:rsidR="00AC3330" w:rsidRPr="00AC3330">
        <w:rPr>
          <w:rFonts w:eastAsia="Times New Roman"/>
          <w:lang w:eastAsia="pl-PL"/>
        </w:rPr>
        <w:t xml:space="preserve">Uczestnikami zajęć byli seniorzy, w tym członkowie Klubu Seniora oraz osoby korzystające z </w:t>
      </w:r>
      <w:r w:rsidR="00C14472">
        <w:rPr>
          <w:rFonts w:eastAsia="Times New Roman"/>
          <w:lang w:eastAsia="pl-PL"/>
        </w:rPr>
        <w:t> </w:t>
      </w:r>
      <w:r w:rsidR="00AC3330" w:rsidRPr="00AC3330">
        <w:rPr>
          <w:rFonts w:eastAsia="Times New Roman"/>
          <w:lang w:eastAsia="pl-PL"/>
        </w:rPr>
        <w:t>Dziennego Domu Senior Wigor.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W 2017 roku, wzorem lat ubiegłych Biblioteka udzielała indywidualnego instruktażu w  zakresie obsługi komputera dla czytelników, którzy zgłaszali taką potrzebę. Najczęściej powtarzająca się tematyka udzielanego instruktażu to redagowanie pisma w Word, pomoc w pisaniu CV, listu motywacyjnego i innych dokumentów niezbędnych w ubieganiu się o pracę, zakładanie konta poczty elektronicznej i  pomoc w wysyłaniu dokumentów pocztą elektroniczną</w:t>
      </w:r>
      <w:r w:rsidRPr="00AC3330">
        <w:rPr>
          <w:rFonts w:eastAsia="Times New Roman"/>
          <w:color w:val="C00000"/>
          <w:lang w:eastAsia="pl-PL"/>
        </w:rPr>
        <w:t xml:space="preserve">, </w:t>
      </w:r>
      <w:r w:rsidRPr="00AC3330">
        <w:rPr>
          <w:rFonts w:eastAsia="Times New Roman"/>
          <w:lang w:eastAsia="pl-PL"/>
        </w:rPr>
        <w:t>wyszukiwanie różnorodnych informacji przez Internet, zamieszczanie zdjęcia na stronie internetowej, redagowanie ogłoszenia, pomoc w odprawie lotniczej on-line. Powyższe usługi w 2017 roku wykonano 345 razy.</w:t>
      </w:r>
    </w:p>
    <w:p w:rsidR="00AC3330" w:rsidRPr="00AC3330" w:rsidRDefault="00AC3330" w:rsidP="001B4E06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W 2017 roku kontynuowano usługę „Książka na telefon” oraz współpracę z Miejską i Powiatową Biblioteką Publiczną w Będzinie w zakresie </w:t>
      </w:r>
      <w:proofErr w:type="spellStart"/>
      <w:r w:rsidRPr="00AC3330">
        <w:rPr>
          <w:rFonts w:eastAsia="Times New Roman"/>
          <w:lang w:eastAsia="pl-PL"/>
        </w:rPr>
        <w:t>wypożyczeń</w:t>
      </w:r>
      <w:proofErr w:type="spellEnd"/>
      <w:r w:rsidRPr="00AC3330">
        <w:rPr>
          <w:rFonts w:eastAsia="Times New Roman"/>
          <w:lang w:eastAsia="pl-PL"/>
        </w:rPr>
        <w:t xml:space="preserve"> mi</w:t>
      </w:r>
      <w:r w:rsidR="00143E4E">
        <w:rPr>
          <w:rFonts w:eastAsia="Times New Roman"/>
          <w:lang w:eastAsia="pl-PL"/>
        </w:rPr>
        <w:t>ędzybibliotecznych audiobooków. Dzięki życzliwości będzińskiej B</w:t>
      </w:r>
      <w:r w:rsidRPr="00AC3330">
        <w:rPr>
          <w:rFonts w:eastAsia="Times New Roman"/>
          <w:lang w:eastAsia="pl-PL"/>
        </w:rPr>
        <w:t>iblioteki sławkowscy czytelnicy mieli dos</w:t>
      </w:r>
      <w:r w:rsidR="00143E4E">
        <w:rPr>
          <w:rFonts w:eastAsia="Times New Roman"/>
          <w:lang w:eastAsia="pl-PL"/>
        </w:rPr>
        <w:t xml:space="preserve">tęp do tego typu publikacji. Z </w:t>
      </w:r>
      <w:r w:rsidRPr="00AC3330">
        <w:rPr>
          <w:rFonts w:eastAsia="Times New Roman"/>
          <w:lang w:eastAsia="pl-PL"/>
        </w:rPr>
        <w:t>p</w:t>
      </w:r>
      <w:r w:rsidR="00143E4E">
        <w:rPr>
          <w:rFonts w:eastAsia="Times New Roman"/>
          <w:lang w:eastAsia="pl-PL"/>
        </w:rPr>
        <w:t>owyższej możliwości skorzystało</w:t>
      </w:r>
      <w:r w:rsidRPr="00AC3330">
        <w:rPr>
          <w:rFonts w:eastAsia="Times New Roman"/>
          <w:lang w:eastAsia="pl-PL"/>
        </w:rPr>
        <w:t xml:space="preserve"> 20</w:t>
      </w:r>
      <w:r w:rsidR="00143E4E">
        <w:rPr>
          <w:rFonts w:eastAsia="Times New Roman"/>
          <w:lang w:eastAsia="pl-PL"/>
        </w:rPr>
        <w:t xml:space="preserve"> osób, którym udostępniono 47 </w:t>
      </w:r>
      <w:r w:rsidRPr="00AC3330">
        <w:rPr>
          <w:rFonts w:eastAsia="Times New Roman"/>
          <w:lang w:eastAsia="pl-PL"/>
        </w:rPr>
        <w:t>audiobooków.</w:t>
      </w:r>
    </w:p>
    <w:p w:rsidR="00AC3330" w:rsidRPr="00AC3330" w:rsidRDefault="00AC3330" w:rsidP="00AC3330">
      <w:pPr>
        <w:ind w:left="708" w:firstLine="708"/>
        <w:jc w:val="both"/>
        <w:rPr>
          <w:rFonts w:eastAsia="Times New Roman"/>
          <w:lang w:eastAsia="pl-PL"/>
        </w:rPr>
      </w:pPr>
    </w:p>
    <w:p w:rsidR="00AC3330" w:rsidRPr="00AC3330" w:rsidRDefault="00C14472" w:rsidP="00AC3330">
      <w:pPr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6. </w:t>
      </w:r>
      <w:r w:rsidR="00AC3330" w:rsidRPr="00AC3330">
        <w:rPr>
          <w:rFonts w:eastAsia="Times New Roman"/>
          <w:b/>
          <w:lang w:eastAsia="pl-PL"/>
        </w:rPr>
        <w:t>Sprawy kadrowe i sytuacja zawodowa bibliotekarzy.</w:t>
      </w:r>
    </w:p>
    <w:p w:rsidR="00AC3330" w:rsidRPr="00AC3330" w:rsidRDefault="00AC3330" w:rsidP="00AC3330">
      <w:pPr>
        <w:jc w:val="both"/>
        <w:rPr>
          <w:rFonts w:eastAsia="Times New Roman"/>
          <w:b/>
          <w:lang w:eastAsia="pl-PL"/>
        </w:rPr>
      </w:pPr>
    </w:p>
    <w:p w:rsidR="00AC3330" w:rsidRPr="00AC3330" w:rsidRDefault="00AC3330" w:rsidP="00AC3330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W 2017 roku w Miejskiej Bibliotece Publicznej w Sławkowie zatrudnionych było 7 osób, w  tym na stanowiskach działalności podstawowej 5 osób. Wszyscy pracownicy merytoryczni posiadają wykształcenie wyższe bibliotekarskie. Na stanowiska a</w:t>
      </w:r>
      <w:r w:rsidR="00C2772A">
        <w:rPr>
          <w:rFonts w:eastAsia="Times New Roman"/>
          <w:lang w:eastAsia="pl-PL"/>
        </w:rPr>
        <w:t>dministracji i obsługi przypada</w:t>
      </w:r>
      <w:r w:rsidRPr="00AC3330">
        <w:rPr>
          <w:rFonts w:eastAsia="Times New Roman"/>
          <w:lang w:eastAsia="pl-PL"/>
        </w:rPr>
        <w:t xml:space="preserve"> 1 etat. Stan zatrudnienia pozostał zatem niezmienny.</w:t>
      </w:r>
      <w:r w:rsidR="00143E4E">
        <w:rPr>
          <w:rFonts w:eastAsia="Times New Roman"/>
          <w:lang w:eastAsia="pl-PL"/>
        </w:rPr>
        <w:t xml:space="preserve"> </w:t>
      </w:r>
      <w:r w:rsidRPr="00AC3330">
        <w:rPr>
          <w:rFonts w:eastAsia="Times New Roman"/>
          <w:lang w:eastAsia="pl-PL"/>
        </w:rPr>
        <w:t>Pracownicy Biblioteki brali udział w następujących formach doskonalenia: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C14472">
      <w:pPr>
        <w:jc w:val="both"/>
        <w:rPr>
          <w:rFonts w:eastAsia="Times New Roman"/>
          <w:u w:val="single"/>
          <w:lang w:eastAsia="pl-PL"/>
        </w:rPr>
      </w:pPr>
      <w:r w:rsidRPr="00AC3330">
        <w:rPr>
          <w:rFonts w:eastAsia="Times New Roman"/>
          <w:u w:val="single"/>
          <w:lang w:eastAsia="pl-PL"/>
        </w:rPr>
        <w:t>Szkolenia organizowane przez Bibliotekę Śląską: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Akcja Bilans 2016 (12.01)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Teoretyczne i praktyczne aspekty zawierania umów licencyjnych przez biblioteki (19.01)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Deskryptory w systemie bibliotecznym SOWA (25.04)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Infrastruktura bibliotek 2016-2020 (05.05)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Prawo pracy dla bibliotekarza (12.05)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Dwa Bratanki – odkrywamy literaturę węgierską w Polsce (15.09)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- </w:t>
      </w:r>
      <w:proofErr w:type="spellStart"/>
      <w:r w:rsidRPr="00AC3330">
        <w:rPr>
          <w:rFonts w:eastAsia="Times New Roman"/>
          <w:lang w:eastAsia="pl-PL"/>
        </w:rPr>
        <w:t>Gamifikowanie</w:t>
      </w:r>
      <w:proofErr w:type="spellEnd"/>
      <w:r w:rsidRPr="00AC3330">
        <w:rPr>
          <w:rFonts w:eastAsia="Times New Roman"/>
          <w:lang w:eastAsia="pl-PL"/>
        </w:rPr>
        <w:t xml:space="preserve"> literatury pięknej na smartfonach (03.10)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- Wdrożenie projektu International </w:t>
      </w:r>
      <w:proofErr w:type="spellStart"/>
      <w:r w:rsidRPr="00AC3330">
        <w:rPr>
          <w:rFonts w:eastAsia="Times New Roman"/>
          <w:lang w:eastAsia="pl-PL"/>
        </w:rPr>
        <w:t>Advocacy</w:t>
      </w:r>
      <w:proofErr w:type="spellEnd"/>
      <w:r w:rsidRPr="00AC3330">
        <w:rPr>
          <w:rFonts w:eastAsia="Times New Roman"/>
          <w:lang w:eastAsia="pl-PL"/>
        </w:rPr>
        <w:t xml:space="preserve"> </w:t>
      </w:r>
      <w:proofErr w:type="spellStart"/>
      <w:r w:rsidRPr="00AC3330">
        <w:rPr>
          <w:rFonts w:eastAsia="Times New Roman"/>
          <w:lang w:eastAsia="pl-PL"/>
        </w:rPr>
        <w:t>Programme</w:t>
      </w:r>
      <w:proofErr w:type="spellEnd"/>
      <w:r w:rsidRPr="00AC3330">
        <w:rPr>
          <w:rFonts w:eastAsia="Times New Roman"/>
          <w:lang w:eastAsia="pl-PL"/>
        </w:rPr>
        <w:t xml:space="preserve"> IFLA w bi</w:t>
      </w:r>
      <w:r w:rsidR="00143E4E">
        <w:rPr>
          <w:rFonts w:eastAsia="Times New Roman"/>
          <w:lang w:eastAsia="pl-PL"/>
        </w:rPr>
        <w:t xml:space="preserve">bliotekach na całym świecie </w:t>
      </w:r>
      <w:r w:rsidRPr="00AC3330">
        <w:rPr>
          <w:rFonts w:eastAsia="Times New Roman"/>
          <w:lang w:eastAsia="pl-PL"/>
        </w:rPr>
        <w:t>(23.11)</w:t>
      </w:r>
    </w:p>
    <w:p w:rsidR="00AC3330" w:rsidRPr="00AC3330" w:rsidRDefault="00AC3330" w:rsidP="00C14472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C14472">
      <w:pPr>
        <w:jc w:val="both"/>
        <w:outlineLvl w:val="0"/>
        <w:rPr>
          <w:rFonts w:eastAsia="Times New Roman"/>
          <w:u w:val="single"/>
          <w:lang w:eastAsia="pl-PL"/>
        </w:rPr>
      </w:pPr>
      <w:r w:rsidRPr="00AC3330">
        <w:rPr>
          <w:rFonts w:eastAsia="Times New Roman"/>
          <w:u w:val="single"/>
          <w:lang w:eastAsia="pl-PL"/>
        </w:rPr>
        <w:lastRenderedPageBreak/>
        <w:t>Szkolenia organizowane przez Miejską i Powiatową Bibliotekę Publiczną w Będzinie: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- Warsztaty animacji filmowej – filmy </w:t>
      </w:r>
      <w:proofErr w:type="spellStart"/>
      <w:r w:rsidRPr="00AC3330">
        <w:rPr>
          <w:rFonts w:eastAsia="Times New Roman"/>
          <w:lang w:eastAsia="pl-PL"/>
        </w:rPr>
        <w:t>poklatkowe</w:t>
      </w:r>
      <w:proofErr w:type="spellEnd"/>
      <w:r w:rsidRPr="00AC3330">
        <w:rPr>
          <w:rFonts w:eastAsia="Times New Roman"/>
          <w:lang w:eastAsia="pl-PL"/>
        </w:rPr>
        <w:t xml:space="preserve"> (12.01)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Budowanie relacji z mediami (09.02)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Trudny klient, trudna sytuacja w bibliotece (20.04)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Metodyka pracy z seniorami (25.05)</w:t>
      </w:r>
    </w:p>
    <w:p w:rsidR="00AC3330" w:rsidRPr="00AC3330" w:rsidRDefault="00AC3330" w:rsidP="00C14472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AC3330" w:rsidP="00C14472">
      <w:pPr>
        <w:jc w:val="both"/>
        <w:rPr>
          <w:rFonts w:eastAsia="Times New Roman"/>
          <w:u w:val="single"/>
          <w:lang w:eastAsia="pl-PL"/>
        </w:rPr>
      </w:pPr>
      <w:r w:rsidRPr="00AC3330">
        <w:rPr>
          <w:rFonts w:eastAsia="Times New Roman"/>
          <w:u w:val="single"/>
          <w:lang w:eastAsia="pl-PL"/>
        </w:rPr>
        <w:t>Ponadto pracownicy Biblioteki wzięli udział w: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konferencji dyrektorów bibliotek publicznych woj. śląskiego organizowanej przez Bibliotekę Śląską (27.04)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- seminarium w </w:t>
      </w:r>
      <w:proofErr w:type="spellStart"/>
      <w:r w:rsidRPr="00AC3330">
        <w:rPr>
          <w:rFonts w:eastAsia="Times New Roman"/>
          <w:lang w:eastAsia="pl-PL"/>
        </w:rPr>
        <w:t>CINiBA</w:t>
      </w:r>
      <w:proofErr w:type="spellEnd"/>
      <w:r w:rsidRPr="00AC3330">
        <w:rPr>
          <w:rFonts w:eastAsia="Times New Roman"/>
          <w:lang w:eastAsia="pl-PL"/>
        </w:rPr>
        <w:t xml:space="preserve"> w Katowicach nt. nowych rozwiązań w dziedzinie prawa autorskiego i ochrony danych osobowych (07.09)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wyjazd szkoleniowy bibliotekarzy powiatu będzińskiego do Rzeszowa (08.09)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 xml:space="preserve">- </w:t>
      </w:r>
      <w:proofErr w:type="spellStart"/>
      <w:r w:rsidRPr="00AC3330">
        <w:rPr>
          <w:rFonts w:eastAsia="Times New Roman"/>
          <w:lang w:eastAsia="pl-PL"/>
        </w:rPr>
        <w:t>Dyskuteka</w:t>
      </w:r>
      <w:proofErr w:type="spellEnd"/>
      <w:r w:rsidRPr="00AC3330">
        <w:rPr>
          <w:rFonts w:eastAsia="Times New Roman"/>
          <w:lang w:eastAsia="pl-PL"/>
        </w:rPr>
        <w:t xml:space="preserve"> – porozmawiajmy o młodzieży. I Sławkowskie Forum Lokalne, zorganizowane przez MOK w </w:t>
      </w:r>
      <w:r w:rsidR="00143E4E">
        <w:rPr>
          <w:rFonts w:eastAsia="Times New Roman"/>
          <w:lang w:eastAsia="pl-PL"/>
        </w:rPr>
        <w:t> </w:t>
      </w:r>
      <w:r w:rsidRPr="00AC3330">
        <w:rPr>
          <w:rFonts w:eastAsia="Times New Roman"/>
          <w:lang w:eastAsia="pl-PL"/>
        </w:rPr>
        <w:t>Sławkowie (22.09)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XIII Forum Bibliotekarzy Samorządowych Powiatu Będzińskiego  (12.10)</w:t>
      </w:r>
    </w:p>
    <w:p w:rsidR="00AC3330" w:rsidRPr="00AC3330" w:rsidRDefault="00AC3330" w:rsidP="00C14472">
      <w:pPr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Ochrona danych osobowych – szkolenie zorganizowane w Będzinie przez firmę MBM z Gliwic (24.11)</w:t>
      </w:r>
    </w:p>
    <w:p w:rsidR="00AC3330" w:rsidRPr="00AC3330" w:rsidRDefault="00AC3330" w:rsidP="00AC3330">
      <w:pPr>
        <w:jc w:val="both"/>
        <w:rPr>
          <w:rFonts w:eastAsia="Times New Roman"/>
          <w:color w:val="C00000"/>
          <w:lang w:eastAsia="pl-PL"/>
        </w:rPr>
      </w:pPr>
    </w:p>
    <w:p w:rsidR="00AC3330" w:rsidRPr="00AC3330" w:rsidRDefault="00C14472" w:rsidP="00AC3330">
      <w:pPr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7. Dodatkowe środki finansowe pozyskane przez Bibliotekę.</w:t>
      </w:r>
    </w:p>
    <w:p w:rsidR="00AC3330" w:rsidRPr="00AC3330" w:rsidRDefault="00AC3330" w:rsidP="00AC3330">
      <w:pPr>
        <w:jc w:val="both"/>
        <w:rPr>
          <w:rFonts w:eastAsia="Times New Roman"/>
          <w:lang w:eastAsia="pl-PL"/>
        </w:rPr>
      </w:pPr>
    </w:p>
    <w:p w:rsidR="00AC3330" w:rsidRPr="00AC3330" w:rsidRDefault="00C14472" w:rsidP="00AC3330">
      <w:p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7.1. </w:t>
      </w:r>
      <w:r w:rsidR="00AC3330" w:rsidRPr="00AC3330">
        <w:rPr>
          <w:rFonts w:eastAsia="Times New Roman"/>
          <w:lang w:eastAsia="pl-PL"/>
        </w:rPr>
        <w:t>Dochody własne, ogółem 3.969,30 zł</w:t>
      </w:r>
    </w:p>
    <w:p w:rsidR="00C14472" w:rsidRDefault="00C14472" w:rsidP="00C14472">
      <w:pPr>
        <w:ind w:left="705" w:hanging="70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</w:t>
      </w:r>
      <w:r w:rsidR="00AC3330" w:rsidRPr="00AC3330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2. </w:t>
      </w:r>
      <w:r w:rsidR="00AC3330" w:rsidRPr="00AC3330">
        <w:rPr>
          <w:rFonts w:eastAsia="Times New Roman"/>
          <w:lang w:eastAsia="pl-PL"/>
        </w:rPr>
        <w:t>Darowizny rzeczowe, ogółem 2.145,77 zł, w tym:</w:t>
      </w:r>
    </w:p>
    <w:p w:rsidR="00C14472" w:rsidRDefault="00AC3330" w:rsidP="00C14472">
      <w:pPr>
        <w:ind w:firstLine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książki – 2.095,79,00 zł</w:t>
      </w:r>
    </w:p>
    <w:p w:rsidR="00AC3330" w:rsidRPr="00AC3330" w:rsidRDefault="00AC3330" w:rsidP="00C14472">
      <w:pPr>
        <w:ind w:firstLine="708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>- audiobooki – 49,98 szt.</w:t>
      </w:r>
    </w:p>
    <w:p w:rsidR="00AC3330" w:rsidRPr="00AC3330" w:rsidRDefault="00C14472" w:rsidP="00AC3330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7.3. </w:t>
      </w:r>
      <w:r w:rsidR="00AC3330" w:rsidRPr="00AC3330">
        <w:rPr>
          <w:rFonts w:eastAsia="Times New Roman"/>
          <w:lang w:eastAsia="pl-PL"/>
        </w:rPr>
        <w:t>Inne środki finansowe pozyskane przez Bibliotekę ogółem  7.165,00 zł, w tym:</w:t>
      </w:r>
    </w:p>
    <w:p w:rsidR="00AC3330" w:rsidRPr="00AC3330" w:rsidRDefault="00C14472" w:rsidP="00AC3330">
      <w:pPr>
        <w:ind w:left="705" w:hanging="705"/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7.3.1. </w:t>
      </w:r>
      <w:r w:rsidR="00AC3330" w:rsidRPr="00AC3330">
        <w:rPr>
          <w:rFonts w:eastAsia="Times New Roman"/>
          <w:u w:val="single"/>
          <w:lang w:eastAsia="pl-PL"/>
        </w:rPr>
        <w:t>Z Ministerstwa Kultury i Dziedzictwa Narodowego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wysokość środków 6.150,00 zł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tytuł programu: „Zakup nowości wydawniczych dla bibliotek publicznych” Priorytet 1</w:t>
      </w:r>
    </w:p>
    <w:p w:rsidR="00AC3330" w:rsidRPr="00AC3330" w:rsidRDefault="00C14472" w:rsidP="00AC3330">
      <w:pPr>
        <w:ind w:left="705" w:hanging="70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7.3.2</w:t>
      </w:r>
      <w:r w:rsidR="00AC3330" w:rsidRPr="00AC3330">
        <w:rPr>
          <w:rFonts w:eastAsia="Times New Roman"/>
          <w:lang w:eastAsia="pl-PL"/>
        </w:rPr>
        <w:t>.</w:t>
      </w:r>
      <w:r w:rsidR="00AC3330" w:rsidRPr="00AC3330">
        <w:rPr>
          <w:rFonts w:eastAsia="Times New Roman"/>
          <w:lang w:eastAsia="pl-PL"/>
        </w:rPr>
        <w:tab/>
        <w:t xml:space="preserve">Z innych źródeł: </w:t>
      </w:r>
    </w:p>
    <w:p w:rsidR="00AC3330" w:rsidRPr="00AC3330" w:rsidRDefault="00AC3330" w:rsidP="00AC3330">
      <w:pPr>
        <w:ind w:left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Z Instytutu Książki</w:t>
      </w:r>
      <w:r w:rsidRPr="00AC3330">
        <w:rPr>
          <w:rFonts w:eastAsia="Times New Roman"/>
          <w:lang w:eastAsia="pl-PL"/>
        </w:rPr>
        <w:t>: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wysokość środków: 615,00 zł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tytuł programu: „Dyskusyjne Kluby Książki”</w:t>
      </w:r>
    </w:p>
    <w:p w:rsidR="00AC3330" w:rsidRPr="00AC3330" w:rsidRDefault="00AC3330" w:rsidP="00AC3330">
      <w:pPr>
        <w:ind w:firstLine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u w:val="single"/>
          <w:lang w:eastAsia="pl-PL"/>
        </w:rPr>
        <w:t>Od sponsorów prywatnych</w:t>
      </w:r>
      <w:r w:rsidRPr="00AC3330">
        <w:rPr>
          <w:rFonts w:eastAsia="Times New Roman"/>
          <w:lang w:eastAsia="pl-PL"/>
        </w:rPr>
        <w:t>: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wysokość środków 400,00 zł</w:t>
      </w:r>
    </w:p>
    <w:p w:rsidR="00AC3330" w:rsidRPr="00AC3330" w:rsidRDefault="00AC3330" w:rsidP="00AC3330">
      <w:pPr>
        <w:ind w:left="705" w:hanging="705"/>
        <w:jc w:val="both"/>
        <w:rPr>
          <w:rFonts w:eastAsia="Times New Roman"/>
          <w:lang w:eastAsia="pl-PL"/>
        </w:rPr>
      </w:pPr>
      <w:r w:rsidRPr="00AC3330">
        <w:rPr>
          <w:rFonts w:eastAsia="Times New Roman"/>
          <w:lang w:eastAsia="pl-PL"/>
        </w:rPr>
        <w:tab/>
        <w:t>- organizacja „Nocy z Andersenem”.</w:t>
      </w:r>
    </w:p>
    <w:p w:rsidR="0007643A" w:rsidRDefault="0007643A" w:rsidP="00AC3330">
      <w:pPr>
        <w:spacing w:after="160" w:line="259" w:lineRule="auto"/>
        <w:rPr>
          <w:rFonts w:asciiTheme="minorHAnsi" w:hAnsiTheme="minorHAnsi" w:cstheme="minorBidi"/>
          <w:color w:val="C00000"/>
        </w:rPr>
      </w:pPr>
    </w:p>
    <w:p w:rsidR="00767F7A" w:rsidRDefault="00767F7A" w:rsidP="0007643A">
      <w:pPr>
        <w:spacing w:after="160" w:line="259" w:lineRule="auto"/>
      </w:pPr>
      <w:bookmarkStart w:id="0" w:name="_GoBack"/>
      <w:bookmarkEnd w:id="0"/>
    </w:p>
    <w:p w:rsidR="00160A35" w:rsidRPr="0007643A" w:rsidRDefault="00C14472" w:rsidP="0007643A">
      <w:pPr>
        <w:spacing w:after="160" w:line="259" w:lineRule="auto"/>
        <w:rPr>
          <w:i/>
        </w:rPr>
      </w:pPr>
      <w:r w:rsidRPr="00C14472">
        <w:t>S</w:t>
      </w:r>
      <w:r>
        <w:t xml:space="preserve">porządziła: </w:t>
      </w:r>
      <w:r w:rsidRPr="00C14472">
        <w:rPr>
          <w:i/>
        </w:rPr>
        <w:t>Agnieszka Wąs – dyrektor MBP w Sławkowie</w:t>
      </w:r>
    </w:p>
    <w:sectPr w:rsidR="00160A35" w:rsidRPr="0007643A" w:rsidSect="00AE3E7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39" w:rsidRDefault="00CC3E39">
      <w:pPr>
        <w:spacing w:line="240" w:lineRule="auto"/>
      </w:pPr>
      <w:r>
        <w:separator/>
      </w:r>
    </w:p>
  </w:endnote>
  <w:endnote w:type="continuationSeparator" w:id="0">
    <w:p w:rsidR="00CC3E39" w:rsidRDefault="00CC3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084058"/>
      <w:docPartObj>
        <w:docPartGallery w:val="Page Numbers (Bottom of Page)"/>
        <w:docPartUnique/>
      </w:docPartObj>
    </w:sdtPr>
    <w:sdtEndPr/>
    <w:sdtContent>
      <w:p w:rsidR="0067144B" w:rsidRDefault="007355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0DC">
          <w:rPr>
            <w:noProof/>
          </w:rPr>
          <w:t>8</w:t>
        </w:r>
        <w:r>
          <w:fldChar w:fldCharType="end"/>
        </w:r>
      </w:p>
    </w:sdtContent>
  </w:sdt>
  <w:p w:rsidR="0067144B" w:rsidRDefault="00CC3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39" w:rsidRDefault="00CC3E39">
      <w:pPr>
        <w:spacing w:line="240" w:lineRule="auto"/>
      </w:pPr>
      <w:r>
        <w:separator/>
      </w:r>
    </w:p>
  </w:footnote>
  <w:footnote w:type="continuationSeparator" w:id="0">
    <w:p w:rsidR="00CC3E39" w:rsidRDefault="00CC3E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5CFD"/>
    <w:multiLevelType w:val="hybridMultilevel"/>
    <w:tmpl w:val="FA2619D0"/>
    <w:lvl w:ilvl="0" w:tplc="C038E04A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30"/>
    <w:rsid w:val="0007643A"/>
    <w:rsid w:val="000C7CB1"/>
    <w:rsid w:val="00143E4E"/>
    <w:rsid w:val="0014420A"/>
    <w:rsid w:val="00160A35"/>
    <w:rsid w:val="00165FD7"/>
    <w:rsid w:val="00185C29"/>
    <w:rsid w:val="001B4E06"/>
    <w:rsid w:val="00735566"/>
    <w:rsid w:val="00767F7A"/>
    <w:rsid w:val="00795FDF"/>
    <w:rsid w:val="00833C9A"/>
    <w:rsid w:val="008429DE"/>
    <w:rsid w:val="0090471B"/>
    <w:rsid w:val="009365EA"/>
    <w:rsid w:val="00AC3330"/>
    <w:rsid w:val="00C14472"/>
    <w:rsid w:val="00C2772A"/>
    <w:rsid w:val="00CC3E39"/>
    <w:rsid w:val="00D950DC"/>
    <w:rsid w:val="00DA607C"/>
    <w:rsid w:val="00F3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26C80-D759-4E79-B4A5-FA5157D8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C33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3330"/>
  </w:style>
  <w:style w:type="table" w:styleId="Tabela-Siatka">
    <w:name w:val="Table Grid"/>
    <w:basedOn w:val="Standardowy"/>
    <w:rsid w:val="00AC3330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Struktura księgozbioru</a:t>
            </a:r>
            <a:endParaRPr lang="en-US"/>
          </a:p>
        </c:rich>
      </c:tx>
      <c:layout>
        <c:manualLayout>
          <c:xMode val="edge"/>
          <c:yMode val="edge"/>
          <c:x val="0.32975157494353974"/>
          <c:y val="4.160887656033287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8464419475655428"/>
          <c:y val="0.2768361581920904"/>
          <c:w val="0.1966292134831461"/>
          <c:h val="0.59322033898305082"/>
        </c:manualLayout>
      </c:layout>
      <c:pieChart>
        <c:varyColors val="1"/>
        <c:ser>
          <c:idx val="1"/>
          <c:order val="0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24</c:v>
                </c:pt>
                <c:pt idx="1">
                  <c:v>50</c:v>
                </c:pt>
                <c:pt idx="2">
                  <c:v>26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24</c:v>
                </c:pt>
                <c:pt idx="1">
                  <c:v>50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368626170034938"/>
          <c:y val="0.31627114571843568"/>
          <c:w val="0.38706463843451877"/>
          <c:h val="0.51079974226522651"/>
        </c:manualLayout>
      </c:layout>
      <c:overlay val="0"/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46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Wypożyczenia księgozbioru w 2017 roku</a:t>
            </a:r>
          </a:p>
        </c:rich>
      </c:tx>
      <c:layout>
        <c:manualLayout>
          <c:xMode val="edge"/>
          <c:yMode val="edge"/>
          <c:x val="0.27659574468085107"/>
          <c:y val="1.8518518518518521E-2"/>
        </c:manualLayout>
      </c:layout>
      <c:overlay val="0"/>
      <c:spPr>
        <a:noFill/>
        <a:ln w="2684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893617021276598"/>
          <c:y val="0.25308641975308649"/>
          <c:w val="0.21702127659574472"/>
          <c:h val="0.6296296296296297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2+A2</c:v>
                </c:pt>
              </c:strCache>
            </c:strRef>
          </c:tx>
          <c:spPr>
            <a:solidFill>
              <a:srgbClr val="9999FF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4195126194021063E-2"/>
                  <c:y val="-8.1619879036859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9679718397773376E-2"/>
                  <c:y val="1.26064133287686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63</c:v>
                </c:pt>
                <c:pt idx="1">
                  <c:v>24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30.6</c:v>
                </c:pt>
                <c:pt idx="1">
                  <c:v>24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45.9</c:v>
                </c:pt>
                <c:pt idx="1">
                  <c:v>24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6840">
          <a:noFill/>
        </a:ln>
      </c:spPr>
    </c:plotArea>
    <c:legend>
      <c:legendPos val="r"/>
      <c:layout>
        <c:manualLayout>
          <c:xMode val="edge"/>
          <c:yMode val="edge"/>
          <c:x val="0.5206732813934285"/>
          <c:y val="0.25711229031153715"/>
          <c:w val="0.41648902850236869"/>
          <c:h val="0.61728395061728392"/>
        </c:manualLayout>
      </c:layout>
      <c:overlay val="0"/>
      <c:spPr>
        <a:noFill/>
        <a:ln w="3355">
          <a:solidFill>
            <a:srgbClr val="000000"/>
          </a:solidFill>
          <a:prstDash val="solid"/>
        </a:ln>
      </c:sp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45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2853</Words>
  <Characters>17123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6</cp:revision>
  <cp:lastPrinted>2018-06-11T07:51:00Z</cp:lastPrinted>
  <dcterms:created xsi:type="dcterms:W3CDTF">2018-06-06T10:46:00Z</dcterms:created>
  <dcterms:modified xsi:type="dcterms:W3CDTF">2019-04-10T10:02:00Z</dcterms:modified>
</cp:coreProperties>
</file>