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4E1" w:rsidRPr="004A34E1" w:rsidRDefault="00F57E9A" w:rsidP="004A34E1">
      <w:pPr>
        <w:spacing w:after="0" w:line="312"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Sławków, 05</w:t>
      </w:r>
      <w:r w:rsidR="001658E1">
        <w:rPr>
          <w:rFonts w:ascii="Times New Roman" w:eastAsia="Times New Roman" w:hAnsi="Times New Roman" w:cs="Times New Roman"/>
          <w:lang w:eastAsia="pl-PL"/>
        </w:rPr>
        <w:t>.06</w:t>
      </w:r>
      <w:r w:rsidR="004A34E1" w:rsidRPr="004A34E1">
        <w:rPr>
          <w:rFonts w:ascii="Times New Roman" w:eastAsia="Times New Roman" w:hAnsi="Times New Roman" w:cs="Times New Roman"/>
          <w:lang w:eastAsia="pl-PL"/>
        </w:rPr>
        <w:t>.2017r.</w:t>
      </w:r>
    </w:p>
    <w:p w:rsidR="004A34E1" w:rsidRPr="004A34E1" w:rsidRDefault="004A34E1" w:rsidP="004A34E1">
      <w:pPr>
        <w:spacing w:after="0" w:line="312" w:lineRule="auto"/>
        <w:rPr>
          <w:rFonts w:ascii="Times New Roman" w:eastAsia="Times New Roman" w:hAnsi="Times New Roman" w:cs="Times New Roman"/>
          <w:lang w:eastAsia="pl-PL"/>
        </w:rPr>
      </w:pPr>
    </w:p>
    <w:p w:rsidR="004A34E1" w:rsidRPr="004A34E1" w:rsidRDefault="004A34E1" w:rsidP="004A34E1">
      <w:pPr>
        <w:spacing w:after="0" w:line="312" w:lineRule="auto"/>
        <w:jc w:val="center"/>
        <w:outlineLvl w:val="0"/>
        <w:rPr>
          <w:rFonts w:ascii="Times New Roman" w:eastAsia="Times New Roman" w:hAnsi="Times New Roman" w:cs="Times New Roman"/>
          <w:b/>
          <w:lang w:eastAsia="pl-PL"/>
        </w:rPr>
      </w:pPr>
      <w:r w:rsidRPr="004A34E1">
        <w:rPr>
          <w:rFonts w:ascii="Times New Roman" w:eastAsia="Times New Roman" w:hAnsi="Times New Roman" w:cs="Times New Roman"/>
          <w:b/>
          <w:lang w:eastAsia="pl-PL"/>
        </w:rPr>
        <w:t>SPRAWOZDANIE</w:t>
      </w:r>
    </w:p>
    <w:p w:rsidR="004A34E1" w:rsidRPr="004A34E1" w:rsidRDefault="004A34E1" w:rsidP="004A34E1">
      <w:pPr>
        <w:spacing w:after="0" w:line="312" w:lineRule="auto"/>
        <w:jc w:val="center"/>
        <w:outlineLvl w:val="0"/>
        <w:rPr>
          <w:rFonts w:ascii="Times New Roman" w:eastAsia="Times New Roman" w:hAnsi="Times New Roman" w:cs="Times New Roman"/>
          <w:b/>
          <w:lang w:eastAsia="pl-PL"/>
        </w:rPr>
      </w:pPr>
      <w:r w:rsidRPr="004A34E1">
        <w:rPr>
          <w:rFonts w:ascii="Times New Roman" w:eastAsia="Times New Roman" w:hAnsi="Times New Roman" w:cs="Times New Roman"/>
          <w:b/>
          <w:lang w:eastAsia="pl-PL"/>
        </w:rPr>
        <w:t>z działalności Miejskiej Biblioteki Publicznej w Sławkowie</w:t>
      </w:r>
    </w:p>
    <w:p w:rsidR="004A34E1" w:rsidRPr="004A34E1" w:rsidRDefault="004A34E1" w:rsidP="004A34E1">
      <w:pPr>
        <w:spacing w:after="0" w:line="312" w:lineRule="auto"/>
        <w:jc w:val="center"/>
        <w:outlineLvl w:val="0"/>
        <w:rPr>
          <w:rFonts w:ascii="Times New Roman" w:eastAsia="Times New Roman" w:hAnsi="Times New Roman" w:cs="Times New Roman"/>
          <w:b/>
          <w:lang w:eastAsia="pl-PL"/>
        </w:rPr>
      </w:pPr>
      <w:r w:rsidRPr="004A34E1">
        <w:rPr>
          <w:rFonts w:ascii="Times New Roman" w:eastAsia="Times New Roman" w:hAnsi="Times New Roman" w:cs="Times New Roman"/>
          <w:b/>
          <w:lang w:eastAsia="pl-PL"/>
        </w:rPr>
        <w:t>w 2016 roku.</w:t>
      </w:r>
    </w:p>
    <w:p w:rsidR="004A34E1" w:rsidRPr="004A34E1" w:rsidRDefault="004A34E1" w:rsidP="004A34E1">
      <w:pPr>
        <w:spacing w:after="0" w:line="312" w:lineRule="auto"/>
        <w:outlineLvl w:val="0"/>
        <w:rPr>
          <w:rFonts w:ascii="Times New Roman" w:eastAsia="Times New Roman" w:hAnsi="Times New Roman" w:cs="Times New Roman"/>
          <w:lang w:eastAsia="pl-PL"/>
        </w:rPr>
      </w:pPr>
    </w:p>
    <w:p w:rsidR="004A34E1" w:rsidRPr="004A34E1" w:rsidRDefault="004A34E1" w:rsidP="004A34E1">
      <w:pPr>
        <w:spacing w:after="0" w:line="312" w:lineRule="auto"/>
        <w:outlineLvl w:val="0"/>
        <w:rPr>
          <w:rFonts w:ascii="Times New Roman" w:eastAsia="Times New Roman" w:hAnsi="Times New Roman" w:cs="Times New Roman"/>
          <w:b/>
          <w:color w:val="4472C4" w:themeColor="accent5"/>
          <w:lang w:eastAsia="pl-PL"/>
        </w:rPr>
      </w:pPr>
    </w:p>
    <w:p w:rsidR="004A34E1" w:rsidRPr="004A34E1" w:rsidRDefault="004A34E1" w:rsidP="004A34E1">
      <w:pPr>
        <w:spacing w:after="0" w:line="312" w:lineRule="auto"/>
        <w:ind w:left="705" w:hanging="705"/>
        <w:jc w:val="both"/>
        <w:outlineLvl w:val="0"/>
        <w:rPr>
          <w:rFonts w:ascii="Times New Roman" w:eastAsia="Times New Roman" w:hAnsi="Times New Roman" w:cs="Times New Roman"/>
          <w:b/>
          <w:lang w:eastAsia="pl-PL"/>
        </w:rPr>
      </w:pPr>
      <w:r w:rsidRPr="004A34E1">
        <w:rPr>
          <w:rFonts w:ascii="Times New Roman" w:eastAsia="Times New Roman" w:hAnsi="Times New Roman" w:cs="Times New Roman"/>
          <w:b/>
          <w:lang w:eastAsia="pl-PL"/>
        </w:rPr>
        <w:t>1.</w:t>
      </w:r>
      <w:r w:rsidRPr="004A34E1">
        <w:rPr>
          <w:rFonts w:ascii="Times New Roman" w:eastAsia="Times New Roman" w:hAnsi="Times New Roman" w:cs="Times New Roman"/>
          <w:b/>
          <w:lang w:eastAsia="pl-PL"/>
        </w:rPr>
        <w:tab/>
        <w:t>Stan i zmiany w organizacji Biblioteki.</w:t>
      </w:r>
      <w:r w:rsidR="00437335">
        <w:rPr>
          <w:rFonts w:ascii="Times New Roman" w:eastAsia="Times New Roman" w:hAnsi="Times New Roman" w:cs="Times New Roman"/>
          <w:b/>
          <w:lang w:eastAsia="pl-PL"/>
        </w:rPr>
        <w:t xml:space="preserve"> Najważniejsze osiągnięcia. Modernizacja bazy lokalowej.</w:t>
      </w:r>
    </w:p>
    <w:p w:rsidR="004A34E1" w:rsidRPr="004A34E1" w:rsidRDefault="004A34E1" w:rsidP="004A34E1">
      <w:pPr>
        <w:spacing w:after="0" w:line="312" w:lineRule="auto"/>
        <w:jc w:val="both"/>
        <w:outlineLvl w:val="0"/>
        <w:rPr>
          <w:rFonts w:ascii="Times New Roman" w:eastAsia="Times New Roman" w:hAnsi="Times New Roman" w:cs="Times New Roman"/>
          <w:color w:val="4472C4" w:themeColor="accent5"/>
          <w:lang w:eastAsia="pl-PL"/>
        </w:rPr>
      </w:pPr>
    </w:p>
    <w:p w:rsidR="004A34E1" w:rsidRPr="004A34E1" w:rsidRDefault="004A34E1" w:rsidP="00437335">
      <w:pPr>
        <w:spacing w:after="0" w:line="312" w:lineRule="auto"/>
        <w:ind w:left="720" w:firstLine="696"/>
        <w:contextualSpacing/>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Do sukcesów 2016 roku zaliczyć można udział Biblioteki w projekcie </w:t>
      </w:r>
      <w:r w:rsidRPr="004A34E1">
        <w:rPr>
          <w:rFonts w:ascii="Times New Roman" w:eastAsia="Times New Roman" w:hAnsi="Times New Roman" w:cs="Times New Roman"/>
          <w:b/>
          <w:lang w:eastAsia="pl-PL"/>
        </w:rPr>
        <w:t>„O finansach… w  bibliotece – IV edycja”</w:t>
      </w:r>
      <w:r w:rsidR="0077187F">
        <w:rPr>
          <w:rFonts w:ascii="Times New Roman" w:eastAsia="Times New Roman" w:hAnsi="Times New Roman" w:cs="Times New Roman"/>
          <w:lang w:eastAsia="pl-PL"/>
        </w:rPr>
        <w:t>, którego realizatorem jest</w:t>
      </w:r>
      <w:r w:rsidRPr="004A34E1">
        <w:rPr>
          <w:rFonts w:ascii="Times New Roman" w:eastAsia="Times New Roman" w:hAnsi="Times New Roman" w:cs="Times New Roman"/>
          <w:lang w:eastAsia="pl-PL"/>
        </w:rPr>
        <w:t xml:space="preserve"> Fundacja Rozwoju Społeczeństwa Informacyjnego przy współpracy z Narodowym Bankiem Polskim. Był to projekt polegający na popularyzacji wiedzy ekonomicznej i zwiększeniu umiejętności korzystania z nowoczesnych produktów i usług finansowych przy wykorzystaniu nowych technologii. W ramach projektu dwóch pracowników biblioteki uczestniczyło w cyklu szkoleń, które przygotowywały do zorganizowania i przeprowadzenia zajęć edukacyjnych dla osób 50+. Przeszkoleni bibliotekarze zorganizowali pięć spotkań z seniorami, które dotyczyły </w:t>
      </w:r>
      <w:r w:rsidR="00D82795">
        <w:rPr>
          <w:rFonts w:ascii="Times New Roman" w:eastAsia="Times New Roman" w:hAnsi="Times New Roman" w:cs="Times New Roman"/>
          <w:lang w:eastAsia="pl-PL"/>
        </w:rPr>
        <w:t>zarządzania budżetem domowym</w:t>
      </w:r>
      <w:r w:rsidRPr="004A34E1">
        <w:rPr>
          <w:rFonts w:ascii="Times New Roman" w:eastAsia="Times New Roman" w:hAnsi="Times New Roman" w:cs="Times New Roman"/>
          <w:lang w:eastAsia="pl-PL"/>
        </w:rPr>
        <w:t xml:space="preserve">, korzystania z internetowych kont bankowych, kredytów, pożyczek, lokat i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ubezpieczeń, a także roli i zasad funkcjonowania banku </w:t>
      </w:r>
      <w:r w:rsidR="00423272">
        <w:rPr>
          <w:rFonts w:ascii="Times New Roman" w:eastAsia="Times New Roman" w:hAnsi="Times New Roman" w:cs="Times New Roman"/>
          <w:lang w:eastAsia="pl-PL"/>
        </w:rPr>
        <w:t>centralnego. Warto podkreślić, ż</w:t>
      </w:r>
      <w:r w:rsidRPr="004A34E1">
        <w:rPr>
          <w:rFonts w:ascii="Times New Roman" w:eastAsia="Times New Roman" w:hAnsi="Times New Roman" w:cs="Times New Roman"/>
          <w:lang w:eastAsia="pl-PL"/>
        </w:rPr>
        <w:t xml:space="preserve">e sławkowska biblioteka była jedyną z województwa śląskiego, która zakwalifikowała się do udziału w projekcie. Bibliotekarze w nietypowy sposób postanowili podsumować projekt. Nakręcili oni niemy film, w którym główną rolę zagrała jedna z uczestniczek. Film wziął udział w konkursie na najciekawszą inspirację z przeprowadzonych spotkań i został jej laureatem, zdobywając wyróżnienie. Tym samym Biblioteka wzbogaciła się o czytnik Amazon Kindle Papewhite 3 oraz gry planszowe: Eurobiznes oraz Koncept. Łączna wartość nagród to </w:t>
      </w:r>
      <w:r w:rsidR="00D82795">
        <w:rPr>
          <w:rFonts w:ascii="Times New Roman" w:eastAsia="Times New Roman" w:hAnsi="Times New Roman" w:cs="Times New Roman"/>
          <w:lang w:eastAsia="pl-PL"/>
        </w:rPr>
        <w:t xml:space="preserve">                   </w:t>
      </w:r>
      <w:r w:rsidRPr="004A34E1">
        <w:rPr>
          <w:rFonts w:ascii="Times New Roman" w:eastAsia="Times New Roman" w:hAnsi="Times New Roman" w:cs="Times New Roman"/>
          <w:lang w:eastAsia="pl-PL"/>
        </w:rPr>
        <w:t>767,21 zł</w:t>
      </w:r>
      <w:r w:rsidR="00D82795">
        <w:rPr>
          <w:rFonts w:ascii="Times New Roman" w:eastAsia="Times New Roman" w:hAnsi="Times New Roman" w:cs="Times New Roman"/>
          <w:lang w:eastAsia="pl-PL"/>
        </w:rPr>
        <w:t>.</w:t>
      </w:r>
    </w:p>
    <w:p w:rsidR="004A34E1" w:rsidRPr="004A34E1" w:rsidRDefault="004A34E1" w:rsidP="001658E1">
      <w:pPr>
        <w:spacing w:after="0" w:line="312" w:lineRule="auto"/>
        <w:ind w:left="720"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W 2016 roku zakupiono serwer komputerowy wraz z oprogramowaniem, który jest wykorzystywany do zabezpieczenia i archiwizacji baz danych gromadzonych w Bibliotece (służy do wdrożenia domeny Active Directory). Serwer w znaczący sposób usprawnia pracę w  administrowaniu siecią komputerową Biblioteki oraz umożliwia efektywne zarządzanie ustawieniami komputerów, użytkowników, drukarek itp. Wartość serwera to 12.753,00 zł. W  2016 roku Biblioteka zakupiła również kserokopiarkę Canon o wartości 2.927,40 zł.</w:t>
      </w:r>
    </w:p>
    <w:p w:rsidR="004A34E1" w:rsidRDefault="004A34E1" w:rsidP="001658E1">
      <w:pPr>
        <w:spacing w:after="0" w:line="312" w:lineRule="auto"/>
        <w:ind w:left="708" w:firstLine="708"/>
        <w:jc w:val="both"/>
        <w:rPr>
          <w:rFonts w:ascii="Times New Roman" w:hAnsi="Times New Roman" w:cs="Times New Roman"/>
        </w:rPr>
      </w:pPr>
      <w:r w:rsidRPr="004A34E1">
        <w:rPr>
          <w:rFonts w:ascii="Times New Roman" w:eastAsia="Times New Roman" w:hAnsi="Times New Roman" w:cs="Times New Roman"/>
          <w:lang w:eastAsia="pl-PL"/>
        </w:rPr>
        <w:t xml:space="preserve">W 2016 roku </w:t>
      </w:r>
      <w:r w:rsidRPr="004A34E1">
        <w:rPr>
          <w:rFonts w:ascii="Times New Roman" w:hAnsi="Times New Roman" w:cs="Times New Roman"/>
        </w:rPr>
        <w:t>odmalowane zostały wszystkie pomieszczenia w budynku Biblioteki (łącznie 785  m</w:t>
      </w:r>
      <w:r w:rsidRPr="004A34E1">
        <w:rPr>
          <w:rFonts w:ascii="Times New Roman" w:hAnsi="Times New Roman" w:cs="Times New Roman"/>
          <w:vertAlign w:val="superscript"/>
        </w:rPr>
        <w:t xml:space="preserve">2 </w:t>
      </w:r>
      <w:r w:rsidRPr="004A34E1">
        <w:rPr>
          <w:rFonts w:ascii="Times New Roman" w:hAnsi="Times New Roman" w:cs="Times New Roman"/>
        </w:rPr>
        <w:t>ścian i sufitów), w tym te najbardziej reprezentacyjne – hol i wypożyczalnia. Fundusze na remont zostały wygospodarowane z budżetu biblioteki i były możliwe dzięki poczynionym oszczędnościom. Przez cały okres remontu sławkowska biblioteka nie zamykała swoich podwoi dla czytelników. Mimo, że w ostatnich dniach (malowanie wypożyc</w:t>
      </w:r>
      <w:r w:rsidR="001658E1">
        <w:rPr>
          <w:rFonts w:ascii="Times New Roman" w:hAnsi="Times New Roman" w:cs="Times New Roman"/>
        </w:rPr>
        <w:t xml:space="preserve">zalni) dostęp do książek był </w:t>
      </w:r>
      <w:r w:rsidRPr="004A34E1">
        <w:rPr>
          <w:rFonts w:ascii="Times New Roman" w:hAnsi="Times New Roman" w:cs="Times New Roman"/>
        </w:rPr>
        <w:t xml:space="preserve">utrudniony, pracownicy starali się, aby żaden czytelnik nie wyszedł z </w:t>
      </w:r>
      <w:r w:rsidR="001658E1">
        <w:rPr>
          <w:rFonts w:ascii="Times New Roman" w:hAnsi="Times New Roman" w:cs="Times New Roman"/>
        </w:rPr>
        <w:t> </w:t>
      </w:r>
      <w:r w:rsidRPr="004A34E1">
        <w:rPr>
          <w:rFonts w:ascii="Times New Roman" w:hAnsi="Times New Roman" w:cs="Times New Roman"/>
        </w:rPr>
        <w:t>pustymi rękoma. W  ubiegłym roku przeprowadzono także naprawę kotła gazowego.</w:t>
      </w:r>
    </w:p>
    <w:p w:rsidR="001658E1" w:rsidRDefault="001658E1" w:rsidP="001658E1">
      <w:pPr>
        <w:spacing w:after="0" w:line="312" w:lineRule="auto"/>
        <w:ind w:left="708" w:firstLine="708"/>
        <w:jc w:val="both"/>
        <w:rPr>
          <w:rFonts w:ascii="Times New Roman" w:hAnsi="Times New Roman" w:cs="Times New Roman"/>
        </w:rPr>
      </w:pPr>
    </w:p>
    <w:p w:rsidR="001658E1" w:rsidRDefault="001658E1" w:rsidP="001658E1">
      <w:pPr>
        <w:spacing w:after="0" w:line="312" w:lineRule="auto"/>
        <w:ind w:left="708" w:firstLine="708"/>
        <w:jc w:val="both"/>
        <w:rPr>
          <w:rFonts w:ascii="Times New Roman" w:hAnsi="Times New Roman" w:cs="Times New Roman"/>
        </w:rPr>
      </w:pPr>
    </w:p>
    <w:p w:rsidR="004A34E1" w:rsidRPr="004A34E1" w:rsidRDefault="004A34E1" w:rsidP="001658E1">
      <w:pPr>
        <w:spacing w:after="0" w:line="312" w:lineRule="auto"/>
        <w:jc w:val="both"/>
        <w:rPr>
          <w:rFonts w:ascii="Times New Roman" w:eastAsia="Times New Roman" w:hAnsi="Times New Roman" w:cs="Times New Roman"/>
          <w:b/>
          <w:lang w:eastAsia="pl-PL"/>
        </w:rPr>
      </w:pP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1658E1" w:rsidP="004A34E1">
      <w:pPr>
        <w:spacing w:after="0" w:line="312" w:lineRule="auto"/>
        <w:jc w:val="both"/>
        <w:outlineLvl w:val="0"/>
        <w:rPr>
          <w:rFonts w:ascii="Times New Roman" w:eastAsia="Times New Roman" w:hAnsi="Times New Roman" w:cs="Times New Roman"/>
          <w:b/>
          <w:lang w:eastAsia="pl-PL"/>
        </w:rPr>
      </w:pPr>
      <w:r>
        <w:rPr>
          <w:rFonts w:ascii="Times New Roman" w:eastAsia="Times New Roman" w:hAnsi="Times New Roman" w:cs="Times New Roman"/>
          <w:b/>
          <w:lang w:eastAsia="pl-PL"/>
        </w:rPr>
        <w:t>2</w:t>
      </w:r>
      <w:r w:rsidR="004A34E1" w:rsidRPr="004A34E1">
        <w:rPr>
          <w:rFonts w:ascii="Times New Roman" w:eastAsia="Times New Roman" w:hAnsi="Times New Roman" w:cs="Times New Roman"/>
          <w:b/>
          <w:lang w:eastAsia="pl-PL"/>
        </w:rPr>
        <w:t>.</w:t>
      </w:r>
      <w:r w:rsidR="004A34E1" w:rsidRPr="004A34E1">
        <w:rPr>
          <w:rFonts w:ascii="Times New Roman" w:eastAsia="Times New Roman" w:hAnsi="Times New Roman" w:cs="Times New Roman"/>
          <w:b/>
          <w:lang w:eastAsia="pl-PL"/>
        </w:rPr>
        <w:tab/>
        <w:t xml:space="preserve">Zbiory biblioteczne. </w:t>
      </w:r>
      <w:r w:rsidR="00B7086B">
        <w:rPr>
          <w:rFonts w:ascii="Times New Roman" w:eastAsia="Times New Roman" w:hAnsi="Times New Roman" w:cs="Times New Roman"/>
          <w:b/>
          <w:lang w:eastAsia="pl-PL"/>
        </w:rPr>
        <w:t>Polityka gromadzenia zbiorów. Preferencje czytelnicze.</w:t>
      </w:r>
    </w:p>
    <w:p w:rsidR="004A34E1" w:rsidRPr="004A34E1" w:rsidRDefault="004A34E1" w:rsidP="004A34E1">
      <w:pPr>
        <w:spacing w:after="0" w:line="312" w:lineRule="auto"/>
        <w:ind w:left="360"/>
        <w:jc w:val="both"/>
        <w:rPr>
          <w:rFonts w:ascii="Times New Roman" w:eastAsia="Times New Roman" w:hAnsi="Times New Roman" w:cs="Times New Roman"/>
          <w:b/>
          <w:lang w:eastAsia="pl-PL"/>
        </w:rPr>
      </w:pP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r>
      <w:r w:rsidR="00B7086B">
        <w:rPr>
          <w:rFonts w:ascii="Times New Roman" w:eastAsia="Times New Roman" w:hAnsi="Times New Roman" w:cs="Times New Roman"/>
          <w:lang w:eastAsia="pl-PL"/>
        </w:rPr>
        <w:tab/>
      </w:r>
      <w:r w:rsidR="00B7086B">
        <w:rPr>
          <w:rFonts w:ascii="Times New Roman" w:eastAsia="Times New Roman" w:hAnsi="Times New Roman" w:cs="Times New Roman"/>
          <w:lang w:eastAsia="pl-PL"/>
        </w:rPr>
        <w:tab/>
      </w:r>
      <w:r w:rsidRPr="004A34E1">
        <w:rPr>
          <w:rFonts w:ascii="Times New Roman" w:eastAsia="Times New Roman" w:hAnsi="Times New Roman" w:cs="Times New Roman"/>
          <w:lang w:eastAsia="pl-PL"/>
        </w:rPr>
        <w:t>Łączny stan księgozbioru na koniec 2016 roku wynosił 41 204 woluminy. W 2016  roku księgozbiór powiększył się o 777 nowych pozycji. Struktura księgozbioru przedstawiała się następująco:</w:t>
      </w:r>
    </w:p>
    <w:p w:rsidR="004A34E1" w:rsidRPr="004A34E1" w:rsidRDefault="004A34E1" w:rsidP="004A34E1">
      <w:pPr>
        <w:spacing w:after="0" w:line="312" w:lineRule="auto"/>
        <w:ind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literatura piękna dla dzieci i młodzieży: 9 801 (+275 wol.),</w:t>
      </w:r>
    </w:p>
    <w:p w:rsidR="004A34E1" w:rsidRPr="004A34E1" w:rsidRDefault="004A34E1" w:rsidP="004A34E1">
      <w:pPr>
        <w:spacing w:after="0" w:line="312" w:lineRule="auto"/>
        <w:ind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literatura piękna dla dorosłych: 20 540 (+363 wol.),</w:t>
      </w:r>
    </w:p>
    <w:p w:rsidR="004A34E1" w:rsidRPr="004A34E1" w:rsidRDefault="004A34E1" w:rsidP="004A34E1">
      <w:pPr>
        <w:spacing w:after="0" w:line="312" w:lineRule="auto"/>
        <w:ind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literatura popularnonaukowa i naukowa: 10 783 (+139 wol.)</w:t>
      </w:r>
    </w:p>
    <w:p w:rsidR="004A34E1" w:rsidRPr="004A34E1" w:rsidRDefault="004A34E1" w:rsidP="004A34E1">
      <w:pPr>
        <w:spacing w:after="0" w:line="312" w:lineRule="auto"/>
        <w:ind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czasopisma oprawne: 80</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r w:rsidRPr="004A34E1">
        <w:rPr>
          <w:rFonts w:ascii="Times New Roman" w:eastAsia="Times New Roman" w:hAnsi="Times New Roman" w:cs="Times New Roman"/>
          <w:noProof/>
          <w:color w:val="4472C4" w:themeColor="accent5"/>
          <w:sz w:val="24"/>
          <w:szCs w:val="24"/>
          <w:lang w:eastAsia="pl-PL"/>
        </w:rPr>
        <w:drawing>
          <wp:anchor distT="0" distB="0" distL="114300" distR="114300" simplePos="0" relativeHeight="251659264" behindDoc="0" locked="0" layoutInCell="1" allowOverlap="1" wp14:anchorId="1622AE9D" wp14:editId="4B916F03">
            <wp:simplePos x="0" y="0"/>
            <wp:positionH relativeFrom="column">
              <wp:posOffset>471170</wp:posOffset>
            </wp:positionH>
            <wp:positionV relativeFrom="paragraph">
              <wp:posOffset>180340</wp:posOffset>
            </wp:positionV>
            <wp:extent cx="5408930" cy="1854835"/>
            <wp:effectExtent l="0" t="0" r="0" b="0"/>
            <wp:wrapSquare wrapText="bothSides"/>
            <wp:docPr id="1" name="Wykre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4A34E1" w:rsidRPr="004A34E1" w:rsidRDefault="004A34E1" w:rsidP="004A34E1">
      <w:pPr>
        <w:spacing w:after="0" w:line="312" w:lineRule="auto"/>
        <w:ind w:left="705" w:firstLine="3"/>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firstLine="3"/>
        <w:jc w:val="both"/>
        <w:rPr>
          <w:rFonts w:ascii="Times New Roman" w:eastAsia="Times New Roman" w:hAnsi="Times New Roman" w:cs="Times New Roman"/>
          <w:lang w:eastAsia="pl-PL"/>
        </w:rPr>
      </w:pPr>
    </w:p>
    <w:p w:rsidR="004A34E1" w:rsidRPr="004A34E1" w:rsidRDefault="004A34E1" w:rsidP="004A34E1">
      <w:pPr>
        <w:spacing w:after="0" w:line="312" w:lineRule="auto"/>
        <w:ind w:left="705" w:firstLine="3"/>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Ze środków samorządowych Biblioteka zakupiła 308 woluminów na kwotę 6</w:t>
      </w:r>
      <w:r w:rsidR="001658E1">
        <w:rPr>
          <w:rFonts w:ascii="Times New Roman" w:eastAsia="Times New Roman" w:hAnsi="Times New Roman" w:cs="Times New Roman"/>
          <w:lang w:eastAsia="pl-PL"/>
        </w:rPr>
        <w:t>.</w:t>
      </w:r>
      <w:r w:rsidRPr="004A34E1">
        <w:rPr>
          <w:rFonts w:ascii="Times New Roman" w:eastAsia="Times New Roman" w:hAnsi="Times New Roman" w:cs="Times New Roman"/>
          <w:lang w:eastAsia="pl-PL"/>
        </w:rPr>
        <w:t xml:space="preserve">859,23 zł. </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Z dotacji Biblioteki Narodowej zakupiono 336 woluminów na kwotę 6.200,00 zł. Sławkowski księgozbiór wzbogacił się także o dary książkowe - 133 woluminy o wartości 1.870 zł.</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Wszystkie książki były na bieżąco opracowywane pod względem formalnym i rzeczowym. </w:t>
      </w:r>
    </w:p>
    <w:p w:rsidR="004A34E1" w:rsidRPr="004A34E1" w:rsidRDefault="00B7086B" w:rsidP="004A34E1">
      <w:pPr>
        <w:widowControl w:val="0"/>
        <w:spacing w:after="0" w:line="312" w:lineRule="auto"/>
        <w:ind w:left="705"/>
        <w:jc w:val="both"/>
        <w:rPr>
          <w:rFonts w:ascii="Times New Roman" w:eastAsia="Times New Roman" w:hAnsi="Times New Roman" w:cs="Times New Roman"/>
          <w:color w:val="4472C4" w:themeColor="accent5"/>
          <w:lang w:eastAsia="pl-PL"/>
        </w:rPr>
      </w:pPr>
      <w:r>
        <w:rPr>
          <w:rFonts w:ascii="Times New Roman" w:eastAsia="Times New Roman" w:hAnsi="Times New Roman" w:cs="Times New Roman"/>
          <w:lang w:eastAsia="pl-PL"/>
        </w:rPr>
        <w:t xml:space="preserve">W 2016 </w:t>
      </w:r>
      <w:r w:rsidR="004A34E1" w:rsidRPr="004A34E1">
        <w:rPr>
          <w:rFonts w:ascii="Times New Roman" w:eastAsia="Times New Roman" w:hAnsi="Times New Roman" w:cs="Times New Roman"/>
          <w:lang w:eastAsia="pl-PL"/>
        </w:rPr>
        <w:t>roku kontynuowano pracę nad dostosowaniem struktury księgozbioru do  obowiązujących norm, zgodnych z Uniwersalną Klasyfikacją Dziesiętną UDC-PO58. W  minionym roku całkowitej rewizji poddano księgozbiór podręczny. W wyniku selekcji zubytkowano 363 pozycje o zdezaktualizowanej treści. Aż 129 książek (37%) stanowiły publikacje z zakresu historii i geografii. 280 książek trafiło do działów z wolnym dostępem do półek. Księgozbiór podręczny liczy obecnie 1165  pozycji.</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Ogółem w 2016 roku zubytkowano 931 woluminów, w tym: 102 wol. z literatury pięknej dla  dzieci i młodzieży, 241 wol. z literatury pięknej dla dorosłych oraz 588 wol. z literatury popularnonaukowej.</w:t>
      </w:r>
    </w:p>
    <w:p w:rsidR="004A34E1" w:rsidRPr="004A34E1" w:rsidRDefault="004A34E1" w:rsidP="00B7086B">
      <w:pPr>
        <w:spacing w:after="0" w:line="312" w:lineRule="auto"/>
        <w:ind w:left="708"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Sławkowska Biblioteka gromadzi materiały książkowe i nieksiążkowe (broszury, czasopisma). Ponadto gromadzone są zbiory regionalne i dokumenty życia społecznego. Realizując zadania biblioteki publicznej, książnica stara się zaspokoić potrzeby różnych grup użytkowników w  większości tworzących społeczność lokalną. I to właśnie różnorodność potencjalnych klientów biblioteki (osób w różnym wieku, z różnymi potrzebami) warunkuje politykę gromadzenia. Głównym źródłem zakupu materiałów są dotacje z Urzędu Miasta oraz </w:t>
      </w:r>
      <w:r w:rsidR="00423272">
        <w:rPr>
          <w:rFonts w:ascii="Times New Roman" w:eastAsia="Times New Roman" w:hAnsi="Times New Roman" w:cs="Times New Roman"/>
          <w:lang w:eastAsia="pl-PL"/>
        </w:rPr>
        <w:lastRenderedPageBreak/>
        <w:t xml:space="preserve">z </w:t>
      </w:r>
      <w:r w:rsidRPr="004A34E1">
        <w:rPr>
          <w:rFonts w:ascii="Times New Roman" w:eastAsia="Times New Roman" w:hAnsi="Times New Roman" w:cs="Times New Roman"/>
          <w:lang w:eastAsia="pl-PL"/>
        </w:rPr>
        <w:t xml:space="preserve">Biblioteki Narodowej. Dużą pomocą w uzupełnianiu księgozbioru są także dary od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użytkowników Biblioteki.</w:t>
      </w:r>
    </w:p>
    <w:p w:rsidR="00223969" w:rsidRDefault="004A34E1" w:rsidP="00423272">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r>
      <w:r w:rsidR="00B7086B">
        <w:rPr>
          <w:rFonts w:ascii="Times New Roman" w:eastAsia="Times New Roman" w:hAnsi="Times New Roman" w:cs="Times New Roman"/>
          <w:lang w:eastAsia="pl-PL"/>
        </w:rPr>
        <w:tab/>
      </w:r>
      <w:r w:rsidR="00B7086B">
        <w:rPr>
          <w:rFonts w:ascii="Times New Roman" w:eastAsia="Times New Roman" w:hAnsi="Times New Roman" w:cs="Times New Roman"/>
          <w:lang w:eastAsia="pl-PL"/>
        </w:rPr>
        <w:tab/>
      </w:r>
      <w:r w:rsidRPr="004A34E1">
        <w:rPr>
          <w:rFonts w:ascii="Times New Roman" w:eastAsia="Times New Roman" w:hAnsi="Times New Roman" w:cs="Times New Roman"/>
          <w:lang w:eastAsia="pl-PL"/>
        </w:rPr>
        <w:t>Podstawowym kryterium doboru są przede wszystkim propozycje zakupu zgłaszane przez czytelników w czasie rozmowy bezpośredniej. Kompletując księgozbiór pracownicy korzystają także ze stron internetowych wydawnictw i księgarni, a także śledzą blogi czytelnicze i serwisy dla miłośników czytania (</w:t>
      </w:r>
      <w:r w:rsidR="00423272">
        <w:rPr>
          <w:rFonts w:ascii="Times New Roman" w:eastAsia="Times New Roman" w:hAnsi="Times New Roman" w:cs="Times New Roman"/>
          <w:lang w:eastAsia="pl-PL"/>
        </w:rPr>
        <w:t xml:space="preserve">np. portal </w:t>
      </w:r>
      <w:r w:rsidRPr="004A34E1">
        <w:rPr>
          <w:rFonts w:ascii="Times New Roman" w:eastAsia="Times New Roman" w:hAnsi="Times New Roman" w:cs="Times New Roman"/>
          <w:lang w:eastAsia="pl-PL"/>
        </w:rPr>
        <w:t>Lubimy Czytać). Przeglądane są listy bestsellerów i rankingi książek najchętniej czytanych i polecanych w danym roku. Dodatkowym wsparciem są katalogi wydawnicze przywożone z katowickich i krakowskich targów książki. Ważnym atutem pr</w:t>
      </w:r>
      <w:r w:rsidR="00423272">
        <w:rPr>
          <w:rFonts w:ascii="Times New Roman" w:eastAsia="Times New Roman" w:hAnsi="Times New Roman" w:cs="Times New Roman"/>
          <w:lang w:eastAsia="pl-PL"/>
        </w:rPr>
        <w:t>zy uzupełnianiu zbiorów jest także</w:t>
      </w:r>
      <w:r w:rsidRPr="004A34E1">
        <w:rPr>
          <w:rFonts w:ascii="Times New Roman" w:eastAsia="Times New Roman" w:hAnsi="Times New Roman" w:cs="Times New Roman"/>
          <w:lang w:eastAsia="pl-PL"/>
        </w:rPr>
        <w:t xml:space="preserve"> doświadczenie i znajomość potrzeb, preferencji poszczególnych, czasem wieloletnich czytelników. Osoby dorosłe w 2016 roku najchętniej sięgały po literaturę kryminalną i sensacyjną. Modę na ten rodzaj literatury zapoczątkował S.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Larsson słynnym „Milenium”. Książki innych autorów „Czarnej serii” takich jak: C.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Läckberg, L.  Marklund, A. Edwardson, H. Rosenfeldt należą do najczęściej wypożyczanych. Równie chętnie czytelnicy sięgają po polskich autorów kryminałów: Z.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Miłoszewskiego, R.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Mroza, K.  Bondy, K. Puzyńskiej. Kolejna grupę stanowi literatura kobieca. Wśród romansów niezmiennie prym wiodą: D. Steel, N. Roberts, D. Palmer, N. Sparks, R.P. Evans. Do najbardziej poczytnych serii dla kobiet należą: „Kobiety to czytają”, „Gorzka czekolada”, „Biała czekolada”, „Literatura na obcasach”. Panowie preferują twórczość K.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Folleta, A.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Suworowa, R.R. Martina, S. Kinga. Dużą popularnością cieszy się wśród nich fantastyka i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 xml:space="preserve">książki science-fiction. Chętnie wypożyczają także reportaże. Z zakresu literatury popularnonaukowej często wypożyczane są książki z działu medycyny i psychologii. Renesans przeżywa również literatura podróżnicza i książki dotyczące taternictwa, alpinistyki i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himalaistyki. Dużą popularnością cieszą się również biografie.</w:t>
      </w:r>
    </w:p>
    <w:p w:rsidR="00423272" w:rsidRDefault="00423272" w:rsidP="00423272">
      <w:pPr>
        <w:spacing w:after="0" w:line="312" w:lineRule="auto"/>
        <w:ind w:left="705" w:hanging="705"/>
        <w:jc w:val="both"/>
        <w:rPr>
          <w:rFonts w:ascii="Times New Roman" w:eastAsia="Times New Roman" w:hAnsi="Times New Roman" w:cs="Times New Roman"/>
          <w:lang w:eastAsia="pl-PL"/>
        </w:rPr>
      </w:pPr>
    </w:p>
    <w:p w:rsidR="00223969" w:rsidRPr="00223969" w:rsidRDefault="00223969" w:rsidP="00223969">
      <w:pPr>
        <w:spacing w:after="0" w:line="312" w:lineRule="auto"/>
        <w:ind w:left="705" w:hanging="525"/>
        <w:jc w:val="both"/>
        <w:rPr>
          <w:rFonts w:ascii="Times New Roman" w:eastAsia="Times New Roman" w:hAnsi="Times New Roman" w:cs="Times New Roman"/>
          <w:lang w:eastAsia="pl-PL"/>
        </w:rPr>
      </w:pPr>
      <w:r>
        <w:rPr>
          <w:rFonts w:ascii="Times New Roman" w:eastAsia="Times New Roman" w:hAnsi="Times New Roman" w:cs="Times New Roman"/>
          <w:lang w:eastAsia="pl-PL"/>
        </w:rPr>
        <w:t>2.1.</w:t>
      </w:r>
      <w:r>
        <w:rPr>
          <w:rFonts w:ascii="Times New Roman" w:eastAsia="Times New Roman" w:hAnsi="Times New Roman" w:cs="Times New Roman"/>
          <w:lang w:eastAsia="pl-PL"/>
        </w:rPr>
        <w:tab/>
        <w:t>Prenumerata czasopism.</w:t>
      </w:r>
    </w:p>
    <w:p w:rsidR="00223969" w:rsidRPr="00223969" w:rsidRDefault="00223969" w:rsidP="00223969">
      <w:pPr>
        <w:spacing w:after="0" w:line="312" w:lineRule="auto"/>
        <w:ind w:left="705" w:hanging="705"/>
        <w:jc w:val="both"/>
        <w:rPr>
          <w:rFonts w:ascii="Times New Roman" w:eastAsia="Times New Roman" w:hAnsi="Times New Roman" w:cs="Times New Roman"/>
          <w:lang w:eastAsia="pl-PL"/>
        </w:rPr>
      </w:pPr>
    </w:p>
    <w:p w:rsidR="004A34E1" w:rsidRDefault="004A34E1" w:rsidP="00423272">
      <w:pPr>
        <w:spacing w:after="0" w:line="312" w:lineRule="auto"/>
        <w:ind w:left="708"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W 2016 roku Biblioteka prenumerowała dwa czasopisma fachowe: „Poradnik instytucji kultury” oraz „ Bibliotekę w Szkole”. Biblioteka pozyskiwała czasopisma w formie darów czytelniczych, co częściowo rekompensuje brak stałej prenumeraty. Darczyńcami, wzorem lat ubiegłych były głównie kobiety, które wypełniły regały prasowe periodykami kobiecymi, takimi jak: Zwierciadło, Twój Styl, Pani, Wysokie Obcasy Extra, Claudia. W darze otrzymaliśmy również </w:t>
      </w:r>
      <w:r w:rsidR="00223969">
        <w:rPr>
          <w:rFonts w:ascii="Times New Roman" w:eastAsia="Times New Roman" w:hAnsi="Times New Roman" w:cs="Times New Roman"/>
          <w:lang w:eastAsia="pl-PL"/>
        </w:rPr>
        <w:t xml:space="preserve">czasopismo psychologiczne </w:t>
      </w:r>
      <w:r w:rsidRPr="004A34E1">
        <w:rPr>
          <w:rFonts w:ascii="Times New Roman" w:eastAsia="Times New Roman" w:hAnsi="Times New Roman" w:cs="Times New Roman"/>
          <w:lang w:eastAsia="pl-PL"/>
        </w:rPr>
        <w:t>„Charaktery”. Dużą popularnością cieszyły się t</w:t>
      </w:r>
      <w:r w:rsidR="00423272">
        <w:rPr>
          <w:rFonts w:ascii="Times New Roman" w:eastAsia="Times New Roman" w:hAnsi="Times New Roman" w:cs="Times New Roman"/>
          <w:lang w:eastAsia="pl-PL"/>
        </w:rPr>
        <w:t>ytuły prasy samorządowej</w:t>
      </w:r>
      <w:r w:rsidRPr="004A34E1">
        <w:rPr>
          <w:rFonts w:ascii="Times New Roman" w:eastAsia="Times New Roman" w:hAnsi="Times New Roman" w:cs="Times New Roman"/>
          <w:lang w:eastAsia="pl-PL"/>
        </w:rPr>
        <w:t xml:space="preserve"> oraz miesięcznik społeczno-kulturalny „Śląsk”, który otrzymujemy od Biblioteki Śląskiej. W minionym roku Biblioteka udostępniła łącznie 534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czasopisma (+183),  w tym na zewnątrz wypożyczyła 301 egzemplarze (+92), na  miejscu zaś udostępniono 233 tytuły prasowe (+91). Nastąpił zatem wzrost wykorzystania czasopism na miejscu oraz wzrost wypożyczeni czasopism do domu.</w:t>
      </w:r>
    </w:p>
    <w:p w:rsidR="00423272" w:rsidRDefault="00423272" w:rsidP="00423272">
      <w:pPr>
        <w:spacing w:after="0" w:line="312" w:lineRule="auto"/>
        <w:jc w:val="both"/>
        <w:rPr>
          <w:rFonts w:ascii="Times New Roman" w:eastAsia="Times New Roman" w:hAnsi="Times New Roman" w:cs="Times New Roman"/>
          <w:lang w:eastAsia="pl-PL"/>
        </w:rPr>
      </w:pPr>
    </w:p>
    <w:p w:rsidR="00223969" w:rsidRPr="00223969" w:rsidRDefault="00223969" w:rsidP="00223969">
      <w:pPr>
        <w:spacing w:after="0" w:line="312" w:lineRule="auto"/>
        <w:ind w:left="705" w:hanging="525"/>
        <w:jc w:val="both"/>
        <w:rPr>
          <w:rFonts w:ascii="Times New Roman" w:eastAsia="Times New Roman" w:hAnsi="Times New Roman" w:cs="Times New Roman"/>
          <w:lang w:eastAsia="pl-PL"/>
        </w:rPr>
      </w:pPr>
      <w:r>
        <w:rPr>
          <w:rFonts w:ascii="Times New Roman" w:eastAsia="Times New Roman" w:hAnsi="Times New Roman" w:cs="Times New Roman"/>
          <w:lang w:eastAsia="pl-PL"/>
        </w:rPr>
        <w:t>2.2.</w:t>
      </w:r>
      <w:r>
        <w:rPr>
          <w:rFonts w:ascii="Times New Roman" w:eastAsia="Times New Roman" w:hAnsi="Times New Roman" w:cs="Times New Roman"/>
          <w:lang w:eastAsia="pl-PL"/>
        </w:rPr>
        <w:tab/>
        <w:t>Dokumenty Życia Społecznego.</w:t>
      </w:r>
    </w:p>
    <w:p w:rsidR="004A34E1" w:rsidRPr="004A34E1" w:rsidRDefault="004A34E1" w:rsidP="004A34E1">
      <w:pPr>
        <w:spacing w:after="0" w:line="312" w:lineRule="auto"/>
        <w:jc w:val="both"/>
        <w:rPr>
          <w:rFonts w:ascii="Times New Roman" w:eastAsia="Times New Roman" w:hAnsi="Times New Roman" w:cs="Times New Roman"/>
          <w:lang w:eastAsia="pl-PL"/>
        </w:rPr>
      </w:pP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xml:space="preserve">Wśród gromadzonych zbiorów bibliotecznych dokumenty życia społecznego zajmują bardzo ważne miejsce, ze względu na swój unikalny i efemeryczny charakter. Są to dokumenty będące </w:t>
      </w:r>
      <w:r w:rsidRPr="004A34E1">
        <w:rPr>
          <w:rFonts w:ascii="Times New Roman" w:eastAsia="Times New Roman" w:hAnsi="Times New Roman" w:cs="Times New Roman"/>
          <w:lang w:eastAsia="pl-PL"/>
        </w:rPr>
        <w:lastRenderedPageBreak/>
        <w:t>świadectwem współczesnego życia danej społeczności i ilustrują jej aktywność kulturalną, społeczną, naukową, polityczną, gospodarczą, religijną, turystyczną etc. Stanowią bardzo cenne, niekiedy jedyne źródło informacji, które wraz z upływem czasu nabiera coraz większego znaczenia. Sławkowska biblioteka gromadzi dżsy dokumentujące życie społeczne Sławkowa. Możemy wyróżnić następujące typy gromadzonych dżsów:</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druki ulotne: zaproszenia, afisze reklamowe, informacyjne, ulotki informacyjne, mapy, obwieszczenia, informatory, wycinki prasowe, broszury, foldery,</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druki zwarte: informatory, katalogi,</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druki ciągłe: „Kurier Sławkowski”,</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artefakty: gadżety związane z miastem.</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Dżsy przechowywane są w teczkach, pudłach, kopertach itp. Udostępniane są prezencyjnie, w  czytelni. Wymagają one opracowania i sklasyfikowania, czego podejmie się w najbliższej przyszłości wyznaczony bibliotekarz.</w:t>
      </w:r>
    </w:p>
    <w:p w:rsidR="004A34E1" w:rsidRPr="004A34E1" w:rsidRDefault="004A34E1" w:rsidP="004A34E1">
      <w:pPr>
        <w:spacing w:after="0" w:line="312" w:lineRule="auto"/>
        <w:ind w:left="705"/>
        <w:jc w:val="both"/>
        <w:rPr>
          <w:rFonts w:ascii="Times New Roman" w:eastAsia="Times New Roman" w:hAnsi="Times New Roman" w:cs="Times New Roman"/>
          <w:color w:val="4472C4" w:themeColor="accent5"/>
          <w:lang w:eastAsia="pl-PL"/>
        </w:rPr>
      </w:pPr>
    </w:p>
    <w:p w:rsidR="004A34E1" w:rsidRPr="004A34E1" w:rsidRDefault="00223969" w:rsidP="004A34E1">
      <w:pPr>
        <w:spacing w:after="0" w:line="312" w:lineRule="auto"/>
        <w:ind w:left="705" w:hanging="705"/>
        <w:jc w:val="both"/>
        <w:outlineLvl w:val="0"/>
        <w:rPr>
          <w:rFonts w:ascii="Times New Roman" w:eastAsia="Times New Roman" w:hAnsi="Times New Roman" w:cs="Times New Roman"/>
          <w:b/>
          <w:lang w:eastAsia="pl-PL"/>
        </w:rPr>
      </w:pPr>
      <w:r>
        <w:rPr>
          <w:rFonts w:ascii="Times New Roman" w:eastAsia="Times New Roman" w:hAnsi="Times New Roman" w:cs="Times New Roman"/>
          <w:b/>
          <w:lang w:eastAsia="pl-PL"/>
        </w:rPr>
        <w:t>3</w:t>
      </w:r>
      <w:r w:rsidR="004A34E1" w:rsidRPr="004A34E1">
        <w:rPr>
          <w:rFonts w:ascii="Times New Roman" w:eastAsia="Times New Roman" w:hAnsi="Times New Roman" w:cs="Times New Roman"/>
          <w:b/>
          <w:lang w:eastAsia="pl-PL"/>
        </w:rPr>
        <w:t>.</w:t>
      </w:r>
      <w:r w:rsidR="004A34E1" w:rsidRPr="004A34E1">
        <w:rPr>
          <w:rFonts w:ascii="Times New Roman" w:eastAsia="Times New Roman" w:hAnsi="Times New Roman" w:cs="Times New Roman"/>
          <w:b/>
          <w:lang w:eastAsia="pl-PL"/>
        </w:rPr>
        <w:tab/>
        <w:t>Czytelnictwo. Promocja. Działalność informacyjna.</w:t>
      </w:r>
    </w:p>
    <w:p w:rsidR="004A34E1" w:rsidRPr="004A34E1" w:rsidRDefault="004A34E1" w:rsidP="004A34E1">
      <w:pPr>
        <w:spacing w:after="0" w:line="312" w:lineRule="auto"/>
        <w:jc w:val="both"/>
        <w:rPr>
          <w:rFonts w:ascii="Times New Roman" w:eastAsia="Times New Roman" w:hAnsi="Times New Roman" w:cs="Times New Roman"/>
          <w:b/>
          <w:lang w:eastAsia="pl-PL"/>
        </w:rPr>
      </w:pP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xml:space="preserve">W 2016 roku w Bibliotece zarejestrowano 1663 czytelników. Nastąpił zatem wzrost ich liczby w porównaniu z rokiem 2015 (+20 osób). </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Zestawienie za dwa ostatnie lata struktury czytelników wg wieku kształtuje się następująco:</w:t>
      </w:r>
    </w:p>
    <w:p w:rsidR="004A34E1" w:rsidRPr="004A34E1" w:rsidRDefault="004A34E1" w:rsidP="004A34E1">
      <w:pPr>
        <w:spacing w:after="0" w:line="312" w:lineRule="auto"/>
        <w:ind w:left="720" w:hanging="540"/>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r>
    </w:p>
    <w:tbl>
      <w:tblPr>
        <w:tblStyle w:val="Tabela-Siatka"/>
        <w:tblW w:w="8215" w:type="dxa"/>
        <w:tblInd w:w="828" w:type="dxa"/>
        <w:tblLook w:val="01E0" w:firstRow="1" w:lastRow="1" w:firstColumn="1" w:lastColumn="1" w:noHBand="0" w:noVBand="0"/>
      </w:tblPr>
      <w:tblGrid>
        <w:gridCol w:w="2361"/>
        <w:gridCol w:w="1962"/>
        <w:gridCol w:w="1946"/>
        <w:gridCol w:w="1946"/>
      </w:tblGrid>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Grupa wiekowa</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2015r.</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2016r.</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Różnica</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do lat 5</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52</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54</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6 - 12</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251</w:t>
            </w:r>
          </w:p>
        </w:tc>
        <w:tc>
          <w:tcPr>
            <w:tcW w:w="0" w:type="auto"/>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243</w:t>
            </w:r>
          </w:p>
        </w:tc>
        <w:tc>
          <w:tcPr>
            <w:tcW w:w="0" w:type="auto"/>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-8</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13 - 15</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104</w:t>
            </w:r>
          </w:p>
        </w:tc>
        <w:tc>
          <w:tcPr>
            <w:tcW w:w="0" w:type="auto"/>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118</w:t>
            </w:r>
          </w:p>
        </w:tc>
        <w:tc>
          <w:tcPr>
            <w:tcW w:w="0" w:type="auto"/>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+14</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16 - 19</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149</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143</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-6</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20 - 24</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147</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145</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25 - 44</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506</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511</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+5</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45 - 60</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249</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257</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+8</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powyżej 60</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185</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192</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+7</w:t>
            </w:r>
          </w:p>
        </w:tc>
      </w:tr>
      <w:tr w:rsidR="004A34E1" w:rsidRPr="004A34E1" w:rsidTr="00770226">
        <w:tc>
          <w:tcPr>
            <w:tcW w:w="2361"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Ogółem</w:t>
            </w:r>
          </w:p>
        </w:tc>
        <w:tc>
          <w:tcPr>
            <w:tcW w:w="19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1643</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pPr>
            <w:r w:rsidRPr="004A34E1">
              <w:t>1663</w:t>
            </w:r>
          </w:p>
        </w:tc>
        <w:tc>
          <w:tcPr>
            <w:tcW w:w="1946"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r w:rsidRPr="004A34E1">
              <w:t>+20</w:t>
            </w:r>
          </w:p>
        </w:tc>
      </w:tr>
    </w:tbl>
    <w:p w:rsidR="004A34E1" w:rsidRPr="004A34E1" w:rsidRDefault="004A34E1" w:rsidP="004A34E1">
      <w:pPr>
        <w:tabs>
          <w:tab w:val="left" w:pos="3060"/>
        </w:tabs>
        <w:spacing w:after="0" w:line="312" w:lineRule="auto"/>
        <w:jc w:val="both"/>
        <w:rPr>
          <w:rFonts w:ascii="Times New Roman" w:eastAsia="Times New Roman" w:hAnsi="Times New Roman" w:cs="Times New Roman"/>
          <w:lang w:eastAsia="pl-PL"/>
        </w:rPr>
      </w:pP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Zestawienie za dwa ostatnie lata struktury czytelników wg zajęcia obrazuje poniższa tabela:</w:t>
      </w:r>
    </w:p>
    <w:p w:rsidR="004A34E1" w:rsidRPr="004A34E1" w:rsidRDefault="004A34E1" w:rsidP="004A34E1">
      <w:pPr>
        <w:spacing w:after="0" w:line="312" w:lineRule="auto"/>
        <w:ind w:left="720" w:hanging="540"/>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r>
    </w:p>
    <w:tbl>
      <w:tblPr>
        <w:tblStyle w:val="Tabela-Siatka"/>
        <w:tblW w:w="8267" w:type="dxa"/>
        <w:tblInd w:w="828" w:type="dxa"/>
        <w:tblLook w:val="01E0" w:firstRow="1" w:lastRow="1" w:firstColumn="1" w:lastColumn="1" w:noHBand="0" w:noVBand="0"/>
      </w:tblPr>
      <w:tblGrid>
        <w:gridCol w:w="2470"/>
        <w:gridCol w:w="1913"/>
        <w:gridCol w:w="1942"/>
        <w:gridCol w:w="1942"/>
      </w:tblGrid>
      <w:tr w:rsidR="004A34E1" w:rsidRPr="004A34E1" w:rsidTr="00770226">
        <w:tc>
          <w:tcPr>
            <w:tcW w:w="2470"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Zajęcie</w:t>
            </w:r>
          </w:p>
        </w:tc>
        <w:tc>
          <w:tcPr>
            <w:tcW w:w="1913"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2015r.</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2016r.</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pPr>
            <w:r w:rsidRPr="004A34E1">
              <w:t>Różnica</w:t>
            </w:r>
          </w:p>
        </w:tc>
      </w:tr>
      <w:tr w:rsidR="004A34E1" w:rsidRPr="004A34E1" w:rsidTr="00770226">
        <w:tc>
          <w:tcPr>
            <w:tcW w:w="2470"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osoby uczące się</w:t>
            </w:r>
          </w:p>
        </w:tc>
        <w:tc>
          <w:tcPr>
            <w:tcW w:w="1913"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655</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650</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-5</w:t>
            </w:r>
          </w:p>
        </w:tc>
      </w:tr>
      <w:tr w:rsidR="004A34E1" w:rsidRPr="004A34E1" w:rsidTr="00770226">
        <w:tc>
          <w:tcPr>
            <w:tcW w:w="2470"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osoby pracujące</w:t>
            </w:r>
          </w:p>
        </w:tc>
        <w:tc>
          <w:tcPr>
            <w:tcW w:w="1913"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608</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615</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+7</w:t>
            </w:r>
          </w:p>
        </w:tc>
      </w:tr>
      <w:tr w:rsidR="004A34E1" w:rsidRPr="004A34E1" w:rsidTr="00770226">
        <w:tc>
          <w:tcPr>
            <w:tcW w:w="2470"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pozostali</w:t>
            </w:r>
          </w:p>
        </w:tc>
        <w:tc>
          <w:tcPr>
            <w:tcW w:w="1913"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380</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398</w:t>
            </w:r>
          </w:p>
        </w:tc>
        <w:tc>
          <w:tcPr>
            <w:tcW w:w="194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+18</w:t>
            </w:r>
          </w:p>
        </w:tc>
      </w:tr>
    </w:tbl>
    <w:p w:rsidR="004A34E1" w:rsidRPr="004A34E1" w:rsidRDefault="004A34E1" w:rsidP="004A34E1">
      <w:pPr>
        <w:spacing w:after="0" w:line="312" w:lineRule="auto"/>
        <w:ind w:left="705"/>
        <w:jc w:val="both"/>
        <w:rPr>
          <w:rFonts w:ascii="Times New Roman" w:eastAsia="Times New Roman" w:hAnsi="Times New Roman" w:cs="Times New Roman"/>
          <w:color w:val="4472C4" w:themeColor="accent5"/>
          <w:u w:val="single"/>
          <w:lang w:eastAsia="pl-PL"/>
        </w:rPr>
      </w:pPr>
    </w:p>
    <w:p w:rsidR="004A34E1" w:rsidRPr="004A34E1" w:rsidRDefault="004A34E1" w:rsidP="004A34E1">
      <w:pPr>
        <w:spacing w:after="0" w:line="312" w:lineRule="auto"/>
        <w:ind w:left="720" w:hanging="12"/>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Czytelnicy odwiedzili Bibliotekę 14 764 razy i wypożyczyli 29 522 pozycji książkowych. Nastąpił zatem spadek odwiedzin (-262) i spadek wypożyczeń książek na zewnątrz                           (- 481  woluminów). Nie był on jednak tak wysoki, jak w roku 2015, gdzie spadek ten wynosił odpowiednio: -2 692 (liczba odwiedzin)  i – 4117 (liczba wypożyczeń).</w:t>
      </w:r>
    </w:p>
    <w:p w:rsidR="004A34E1" w:rsidRPr="004A34E1" w:rsidRDefault="004A34E1" w:rsidP="004A34E1">
      <w:pPr>
        <w:spacing w:after="0" w:line="312" w:lineRule="auto"/>
        <w:ind w:left="720" w:hanging="12"/>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lastRenderedPageBreak/>
        <w:t>Zasięg czytelnictwa w Sławkowie utrzymuje się  na stałym poziomie i wynosi 24 czytelników w przeliczeniu na 100 mieszkańców.</w:t>
      </w:r>
    </w:p>
    <w:p w:rsidR="004A34E1" w:rsidRPr="004A34E1" w:rsidRDefault="004A34E1" w:rsidP="004A34E1">
      <w:pPr>
        <w:spacing w:after="0" w:line="312" w:lineRule="auto"/>
        <w:ind w:left="720" w:hanging="12"/>
        <w:jc w:val="both"/>
        <w:rPr>
          <w:rFonts w:ascii="Times New Roman" w:eastAsia="Times New Roman" w:hAnsi="Times New Roman" w:cs="Times New Roman"/>
          <w:color w:val="4472C4" w:themeColor="accent5"/>
          <w:lang w:eastAsia="pl-PL"/>
        </w:rPr>
      </w:pPr>
    </w:p>
    <w:p w:rsidR="004A34E1" w:rsidRPr="004A34E1" w:rsidRDefault="004A34E1" w:rsidP="004A34E1">
      <w:pPr>
        <w:tabs>
          <w:tab w:val="left" w:pos="4860"/>
        </w:tabs>
        <w:spacing w:after="0" w:line="312" w:lineRule="auto"/>
        <w:ind w:left="720" w:hanging="12"/>
        <w:jc w:val="both"/>
        <w:rPr>
          <w:rFonts w:ascii="Times New Roman" w:eastAsia="Times New Roman" w:hAnsi="Times New Roman" w:cs="Times New Roman"/>
          <w:color w:val="4472C4" w:themeColor="accent5"/>
          <w:lang w:eastAsia="pl-PL"/>
        </w:rPr>
      </w:pPr>
      <w:r w:rsidRPr="004A34E1">
        <w:rPr>
          <w:rFonts w:ascii="Times New Roman" w:eastAsia="Times New Roman" w:hAnsi="Times New Roman" w:cs="Times New Roman"/>
          <w:noProof/>
          <w:color w:val="4472C4" w:themeColor="accent5"/>
          <w:sz w:val="24"/>
          <w:szCs w:val="24"/>
          <w:lang w:eastAsia="pl-PL"/>
        </w:rPr>
        <w:drawing>
          <wp:inline distT="0" distB="0" distL="0" distR="0" wp14:anchorId="255CA5DA" wp14:editId="6E5354EA">
            <wp:extent cx="4886325" cy="1752600"/>
            <wp:effectExtent l="0" t="0" r="0" b="0"/>
            <wp:docPr id="2" name="Wykre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34E1" w:rsidRPr="004A34E1" w:rsidRDefault="004A34E1" w:rsidP="004A34E1">
      <w:pPr>
        <w:spacing w:after="0" w:line="312" w:lineRule="auto"/>
        <w:ind w:left="705"/>
        <w:jc w:val="both"/>
        <w:rPr>
          <w:rFonts w:ascii="Times New Roman" w:eastAsia="Times New Roman" w:hAnsi="Times New Roman" w:cs="Times New Roman"/>
          <w:color w:val="4472C4" w:themeColor="accent5"/>
          <w:lang w:eastAsia="pl-PL"/>
        </w:rPr>
      </w:pPr>
    </w:p>
    <w:p w:rsidR="004A34E1" w:rsidRPr="004A34E1" w:rsidRDefault="00223AC2" w:rsidP="004A34E1">
      <w:pPr>
        <w:spacing w:after="0" w:line="312" w:lineRule="auto"/>
        <w:ind w:left="705" w:hanging="525"/>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4A34E1" w:rsidRPr="004A34E1">
        <w:rPr>
          <w:rFonts w:ascii="Times New Roman" w:eastAsia="Times New Roman" w:hAnsi="Times New Roman" w:cs="Times New Roman"/>
          <w:lang w:eastAsia="pl-PL"/>
        </w:rPr>
        <w:t>.1.</w:t>
      </w:r>
      <w:r w:rsidR="004A34E1" w:rsidRPr="004A34E1">
        <w:rPr>
          <w:rFonts w:ascii="Times New Roman" w:eastAsia="Times New Roman" w:hAnsi="Times New Roman" w:cs="Times New Roman"/>
          <w:lang w:eastAsia="pl-PL"/>
        </w:rPr>
        <w:tab/>
        <w:t xml:space="preserve">Wydarzenia kulturalne, edukacyjne i promocyjne skierowane do czytelników dorosłych: </w:t>
      </w:r>
    </w:p>
    <w:p w:rsidR="004A34E1" w:rsidRPr="004A34E1" w:rsidRDefault="004A34E1" w:rsidP="004A34E1">
      <w:pPr>
        <w:spacing w:after="0" w:line="312" w:lineRule="auto"/>
        <w:ind w:left="705" w:hanging="525"/>
        <w:jc w:val="both"/>
        <w:rPr>
          <w:rFonts w:ascii="Times New Roman" w:eastAsia="Times New Roman" w:hAnsi="Times New Roman" w:cs="Times New Roman"/>
          <w:lang w:eastAsia="pl-PL"/>
        </w:rPr>
      </w:pPr>
    </w:p>
    <w:p w:rsidR="004A34E1" w:rsidRPr="004A34E1" w:rsidRDefault="004A34E1" w:rsidP="004A34E1">
      <w:pPr>
        <w:spacing w:after="0" w:line="312" w:lineRule="auto"/>
        <w:ind w:left="720" w:hanging="15"/>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Spotkanie autorskie</w:t>
      </w:r>
      <w:r w:rsidRPr="004A34E1">
        <w:rPr>
          <w:rFonts w:ascii="Times New Roman" w:eastAsia="Times New Roman" w:hAnsi="Times New Roman" w:cs="Times New Roman"/>
          <w:lang w:eastAsia="pl-PL"/>
        </w:rPr>
        <w:t xml:space="preserve"> z Panem Sławomirem Koprem  (22.04)</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„Biblioteka inspiruje”</w:t>
      </w:r>
      <w:r w:rsidRPr="004A34E1">
        <w:rPr>
          <w:rFonts w:ascii="Times New Roman" w:eastAsia="Times New Roman" w:hAnsi="Times New Roman" w:cs="Times New Roman"/>
          <w:lang w:eastAsia="pl-PL"/>
        </w:rPr>
        <w:t xml:space="preserve"> - obchody XIII Ogól</w:t>
      </w:r>
      <w:r w:rsidR="00423272">
        <w:rPr>
          <w:rFonts w:ascii="Times New Roman" w:eastAsia="Times New Roman" w:hAnsi="Times New Roman" w:cs="Times New Roman"/>
          <w:lang w:eastAsia="pl-PL"/>
        </w:rPr>
        <w:t>nopolskiego Tygodnia Bibliotek</w:t>
      </w:r>
      <w:r w:rsidRPr="004A34E1">
        <w:rPr>
          <w:rFonts w:ascii="Times New Roman" w:eastAsia="Times New Roman" w:hAnsi="Times New Roman" w:cs="Times New Roman"/>
          <w:lang w:eastAsia="pl-PL"/>
        </w:rPr>
        <w:t>:</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warsztaty scenariuszowe dla uczniów ZS im. Jana Pawła II w Sławkowie prowadzone przez Zbigniewa Masternaka (10.05),</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„Aloes – zielony lekarz” - spotkanie poświęcone profilaktyce zdrowia i dobroczynnych właściwościach aloesu (12.05),</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warsztaty tworzenia biżuterii sutaszowej prowadzone przez Katarzynę Dusik (13.05).</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„Stop złym nawykom konsumenckim”</w:t>
      </w:r>
      <w:r w:rsidRPr="004A34E1">
        <w:rPr>
          <w:rFonts w:ascii="Times New Roman" w:eastAsia="Times New Roman" w:hAnsi="Times New Roman" w:cs="Times New Roman"/>
          <w:lang w:eastAsia="pl-PL"/>
        </w:rPr>
        <w:t xml:space="preserve"> – wystawa zorganizowana w okazji obchodów Tygodnia Edukacji Globalnej „Razem dla Pokoju” (14-18.11)</w:t>
      </w:r>
    </w:p>
    <w:p w:rsidR="004A34E1" w:rsidRPr="004A34E1" w:rsidRDefault="004A34E1" w:rsidP="004A34E1">
      <w:pPr>
        <w:spacing w:after="0" w:line="312" w:lineRule="auto"/>
        <w:ind w:left="705"/>
        <w:jc w:val="both"/>
        <w:outlineLvl w:val="0"/>
        <w:rPr>
          <w:rFonts w:ascii="Times New Roman" w:eastAsia="Times New Roman" w:hAnsi="Times New Roman" w:cs="Times New Roman"/>
          <w:lang w:eastAsia="pl-PL"/>
        </w:rPr>
      </w:pPr>
    </w:p>
    <w:p w:rsidR="004A34E1" w:rsidRPr="004A34E1" w:rsidRDefault="004A34E1" w:rsidP="004A34E1">
      <w:pPr>
        <w:spacing w:after="0" w:line="312" w:lineRule="auto"/>
        <w:ind w:left="720" w:hanging="540"/>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color w:val="4472C4" w:themeColor="accent5"/>
          <w:lang w:eastAsia="pl-PL"/>
        </w:rPr>
        <w:tab/>
      </w:r>
      <w:r w:rsidRPr="004A34E1">
        <w:rPr>
          <w:rFonts w:ascii="Times New Roman" w:eastAsia="Times New Roman" w:hAnsi="Times New Roman" w:cs="Times New Roman"/>
          <w:u w:val="single"/>
          <w:lang w:eastAsia="pl-PL"/>
        </w:rPr>
        <w:t>Spotkania Dyskusyjnego Klubu Książki</w:t>
      </w:r>
      <w:r w:rsidRPr="004A34E1">
        <w:rPr>
          <w:rFonts w:ascii="Times New Roman" w:eastAsia="Times New Roman" w:hAnsi="Times New Roman" w:cs="Times New Roman"/>
          <w:lang w:eastAsia="pl-PL"/>
        </w:rPr>
        <w:t xml:space="preserve"> – w 2016 roku odbyło się 8 spotkań DKK, w  których uczestniczyło średnio 6 Klubowiczów. Każde ze spotkań trwało średnio dwie godziny.</w:t>
      </w:r>
    </w:p>
    <w:p w:rsidR="004A34E1" w:rsidRPr="004A34E1" w:rsidRDefault="004A34E1" w:rsidP="004A34E1">
      <w:pPr>
        <w:spacing w:after="0" w:line="312" w:lineRule="auto"/>
        <w:jc w:val="both"/>
        <w:rPr>
          <w:rFonts w:ascii="Times New Roman" w:eastAsia="Times New Roman" w:hAnsi="Times New Roman" w:cs="Times New Roman"/>
          <w:lang w:eastAsia="pl-PL"/>
        </w:rPr>
      </w:pPr>
    </w:p>
    <w:p w:rsidR="004A34E1" w:rsidRPr="004A34E1" w:rsidRDefault="004A34E1" w:rsidP="004A34E1">
      <w:pPr>
        <w:spacing w:after="0" w:line="312" w:lineRule="auto"/>
        <w:jc w:val="both"/>
        <w:rPr>
          <w:rFonts w:ascii="Times New Roman" w:eastAsia="Times New Roman" w:hAnsi="Times New Roman" w:cs="Times New Roman"/>
          <w:lang w:eastAsia="pl-PL"/>
        </w:rPr>
      </w:pP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223AC2" w:rsidP="004A34E1">
      <w:p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4A34E1" w:rsidRPr="004A34E1">
        <w:rPr>
          <w:rFonts w:ascii="Times New Roman" w:eastAsia="Times New Roman" w:hAnsi="Times New Roman" w:cs="Times New Roman"/>
          <w:lang w:eastAsia="pl-PL"/>
        </w:rPr>
        <w:t>.2.</w:t>
      </w:r>
      <w:r w:rsidR="004A34E1" w:rsidRPr="004A34E1">
        <w:rPr>
          <w:rFonts w:ascii="Times New Roman" w:eastAsia="Times New Roman" w:hAnsi="Times New Roman" w:cs="Times New Roman"/>
          <w:lang w:eastAsia="pl-PL"/>
        </w:rPr>
        <w:tab/>
        <w:t xml:space="preserve">Czytelnictwo dzieci i młodzieży w 2016 roku przedstawiało się następująco: </w:t>
      </w:r>
    </w:p>
    <w:p w:rsidR="004A34E1" w:rsidRPr="004A34E1" w:rsidRDefault="004A34E1" w:rsidP="004A34E1">
      <w:pPr>
        <w:spacing w:after="0" w:line="312" w:lineRule="auto"/>
        <w:ind w:left="180"/>
        <w:jc w:val="both"/>
        <w:rPr>
          <w:rFonts w:ascii="Times New Roman" w:eastAsia="Times New Roman" w:hAnsi="Times New Roman" w:cs="Times New Roman"/>
          <w:lang w:eastAsia="pl-PL"/>
        </w:rPr>
      </w:pPr>
    </w:p>
    <w:tbl>
      <w:tblPr>
        <w:tblStyle w:val="Tabela-Siatka"/>
        <w:tblW w:w="6886" w:type="dxa"/>
        <w:tblInd w:w="828" w:type="dxa"/>
        <w:tblLook w:val="01E0" w:firstRow="1" w:lastRow="1" w:firstColumn="1" w:lastColumn="1" w:noHBand="0" w:noVBand="0"/>
      </w:tblPr>
      <w:tblGrid>
        <w:gridCol w:w="2468"/>
        <w:gridCol w:w="1462"/>
        <w:gridCol w:w="1462"/>
        <w:gridCol w:w="1494"/>
      </w:tblGrid>
      <w:tr w:rsidR="004A34E1" w:rsidRPr="004A34E1" w:rsidTr="00770226">
        <w:tc>
          <w:tcPr>
            <w:tcW w:w="2468"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ind w:left="720" w:hanging="720"/>
              <w:jc w:val="center"/>
              <w:rPr>
                <w:b/>
              </w:rPr>
            </w:pPr>
            <w:r w:rsidRPr="004A34E1">
              <w:rPr>
                <w:b/>
              </w:rPr>
              <w:t>Wiek w latach</w:t>
            </w:r>
          </w:p>
        </w:tc>
        <w:tc>
          <w:tcPr>
            <w:tcW w:w="14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rPr>
                <w:b/>
              </w:rPr>
            </w:pPr>
            <w:r w:rsidRPr="004A34E1">
              <w:rPr>
                <w:b/>
              </w:rPr>
              <w:t>2015r.</w:t>
            </w:r>
          </w:p>
        </w:tc>
        <w:tc>
          <w:tcPr>
            <w:tcW w:w="14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rPr>
                <w:b/>
              </w:rPr>
            </w:pPr>
            <w:r w:rsidRPr="004A34E1">
              <w:rPr>
                <w:b/>
              </w:rPr>
              <w:t>2016r.</w:t>
            </w:r>
          </w:p>
        </w:tc>
        <w:tc>
          <w:tcPr>
            <w:tcW w:w="1494"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rPr>
                <w:b/>
              </w:rPr>
            </w:pPr>
            <w:r w:rsidRPr="004A34E1">
              <w:rPr>
                <w:b/>
              </w:rPr>
              <w:t>Różnica</w:t>
            </w:r>
          </w:p>
        </w:tc>
      </w:tr>
      <w:tr w:rsidR="004A34E1" w:rsidRPr="004A34E1" w:rsidTr="00770226">
        <w:tc>
          <w:tcPr>
            <w:tcW w:w="2468"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do 5 lat</w:t>
            </w:r>
          </w:p>
        </w:tc>
        <w:tc>
          <w:tcPr>
            <w:tcW w:w="14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52</w:t>
            </w:r>
          </w:p>
        </w:tc>
        <w:tc>
          <w:tcPr>
            <w:tcW w:w="1462" w:type="dxa"/>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jc w:val="both"/>
            </w:pPr>
            <w:r w:rsidRPr="004A34E1">
              <w:t>54</w:t>
            </w:r>
          </w:p>
        </w:tc>
        <w:tc>
          <w:tcPr>
            <w:tcW w:w="1494" w:type="dxa"/>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jc w:val="both"/>
            </w:pPr>
            <w:r w:rsidRPr="004A34E1">
              <w:t>+2</w:t>
            </w:r>
          </w:p>
        </w:tc>
      </w:tr>
      <w:tr w:rsidR="004A34E1" w:rsidRPr="004A34E1" w:rsidTr="00770226">
        <w:tc>
          <w:tcPr>
            <w:tcW w:w="2468"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6 – 12 lat</w:t>
            </w:r>
          </w:p>
        </w:tc>
        <w:tc>
          <w:tcPr>
            <w:tcW w:w="14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251</w:t>
            </w:r>
          </w:p>
        </w:tc>
        <w:tc>
          <w:tcPr>
            <w:tcW w:w="0" w:type="auto"/>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pPr>
            <w:r w:rsidRPr="004A34E1">
              <w:t>243</w:t>
            </w:r>
          </w:p>
        </w:tc>
        <w:tc>
          <w:tcPr>
            <w:tcW w:w="0" w:type="auto"/>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pPr>
            <w:r w:rsidRPr="004A34E1">
              <w:t>-8</w:t>
            </w:r>
          </w:p>
        </w:tc>
      </w:tr>
      <w:tr w:rsidR="004A34E1" w:rsidRPr="004A34E1" w:rsidTr="00770226">
        <w:tc>
          <w:tcPr>
            <w:tcW w:w="2468"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13 – 15 lat</w:t>
            </w:r>
          </w:p>
        </w:tc>
        <w:tc>
          <w:tcPr>
            <w:tcW w:w="14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104</w:t>
            </w:r>
          </w:p>
        </w:tc>
        <w:tc>
          <w:tcPr>
            <w:tcW w:w="0" w:type="auto"/>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pPr>
            <w:r w:rsidRPr="004A34E1">
              <w:t>118</w:t>
            </w:r>
          </w:p>
        </w:tc>
        <w:tc>
          <w:tcPr>
            <w:tcW w:w="0" w:type="auto"/>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pPr>
            <w:r w:rsidRPr="004A34E1">
              <w:t>+14</w:t>
            </w:r>
          </w:p>
        </w:tc>
      </w:tr>
      <w:tr w:rsidR="004A34E1" w:rsidRPr="004A34E1" w:rsidTr="00770226">
        <w:tc>
          <w:tcPr>
            <w:tcW w:w="2468"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16-19 lat</w:t>
            </w:r>
          </w:p>
        </w:tc>
        <w:tc>
          <w:tcPr>
            <w:tcW w:w="14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both"/>
            </w:pPr>
            <w:r w:rsidRPr="004A34E1">
              <w:t>149</w:t>
            </w:r>
          </w:p>
        </w:tc>
        <w:tc>
          <w:tcPr>
            <w:tcW w:w="1462" w:type="dxa"/>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jc w:val="both"/>
            </w:pPr>
            <w:r w:rsidRPr="004A34E1">
              <w:t>143</w:t>
            </w:r>
          </w:p>
        </w:tc>
        <w:tc>
          <w:tcPr>
            <w:tcW w:w="1494" w:type="dxa"/>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jc w:val="both"/>
            </w:pPr>
            <w:r w:rsidRPr="004A34E1">
              <w:t>-6</w:t>
            </w:r>
          </w:p>
        </w:tc>
      </w:tr>
      <w:tr w:rsidR="004A34E1" w:rsidRPr="004A34E1" w:rsidTr="00770226">
        <w:tc>
          <w:tcPr>
            <w:tcW w:w="2468"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jc w:val="center"/>
              <w:rPr>
                <w:b/>
              </w:rPr>
            </w:pPr>
            <w:r w:rsidRPr="004A34E1">
              <w:rPr>
                <w:b/>
              </w:rPr>
              <w:t>Ogółem</w:t>
            </w:r>
          </w:p>
        </w:tc>
        <w:tc>
          <w:tcPr>
            <w:tcW w:w="1462" w:type="dxa"/>
            <w:tcBorders>
              <w:top w:val="single" w:sz="4" w:space="0" w:color="auto"/>
              <w:left w:val="single" w:sz="4" w:space="0" w:color="auto"/>
              <w:bottom w:val="single" w:sz="4" w:space="0" w:color="auto"/>
              <w:right w:val="single" w:sz="4" w:space="0" w:color="auto"/>
            </w:tcBorders>
            <w:hideMark/>
          </w:tcPr>
          <w:p w:rsidR="004A34E1" w:rsidRPr="004A34E1" w:rsidRDefault="004A34E1" w:rsidP="004A34E1">
            <w:pPr>
              <w:spacing w:line="312" w:lineRule="auto"/>
              <w:rPr>
                <w:b/>
              </w:rPr>
            </w:pPr>
            <w:r w:rsidRPr="004A34E1">
              <w:rPr>
                <w:b/>
              </w:rPr>
              <w:t>556</w:t>
            </w:r>
          </w:p>
        </w:tc>
        <w:tc>
          <w:tcPr>
            <w:tcW w:w="1462" w:type="dxa"/>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rPr>
                <w:b/>
              </w:rPr>
            </w:pPr>
            <w:r w:rsidRPr="004A34E1">
              <w:rPr>
                <w:b/>
              </w:rPr>
              <w:t>558</w:t>
            </w:r>
          </w:p>
        </w:tc>
        <w:tc>
          <w:tcPr>
            <w:tcW w:w="1494" w:type="dxa"/>
            <w:tcBorders>
              <w:top w:val="single" w:sz="4" w:space="0" w:color="auto"/>
              <w:left w:val="single" w:sz="4" w:space="0" w:color="auto"/>
              <w:bottom w:val="single" w:sz="4" w:space="0" w:color="auto"/>
              <w:right w:val="single" w:sz="4" w:space="0" w:color="auto"/>
            </w:tcBorders>
          </w:tcPr>
          <w:p w:rsidR="004A34E1" w:rsidRPr="004A34E1" w:rsidRDefault="004A34E1" w:rsidP="004A34E1">
            <w:pPr>
              <w:spacing w:line="312" w:lineRule="auto"/>
              <w:rPr>
                <w:b/>
              </w:rPr>
            </w:pPr>
            <w:r w:rsidRPr="004A34E1">
              <w:rPr>
                <w:b/>
              </w:rPr>
              <w:t>+2</w:t>
            </w:r>
          </w:p>
        </w:tc>
      </w:tr>
    </w:tbl>
    <w:p w:rsidR="00423272" w:rsidRDefault="00423272" w:rsidP="00423272">
      <w:pPr>
        <w:shd w:val="clear" w:color="auto" w:fill="FFFFFF"/>
        <w:spacing w:after="0" w:line="312" w:lineRule="auto"/>
        <w:ind w:left="703"/>
        <w:jc w:val="both"/>
        <w:rPr>
          <w:rFonts w:ascii="Times New Roman" w:eastAsia="Times New Roman" w:hAnsi="Times New Roman" w:cs="Times New Roman"/>
          <w:lang w:eastAsia="pl-PL"/>
        </w:rPr>
      </w:pPr>
    </w:p>
    <w:p w:rsidR="00423272" w:rsidRDefault="004A34E1" w:rsidP="00423272">
      <w:pPr>
        <w:shd w:val="clear" w:color="auto" w:fill="FFFFFF"/>
        <w:spacing w:after="0" w:line="312" w:lineRule="auto"/>
        <w:ind w:left="703"/>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Dzieci i młodzież stanowią 34% ogółu sławkowskich czytelników. Ich liczba jest zatem stabilna. Wśród najmłodszych czytelników dużym powodzeniem cieszyły się książki służące </w:t>
      </w:r>
      <w:r w:rsidRPr="004A34E1">
        <w:rPr>
          <w:rFonts w:ascii="Times New Roman" w:eastAsia="Times New Roman" w:hAnsi="Times New Roman" w:cs="Times New Roman"/>
          <w:lang w:eastAsia="pl-PL"/>
        </w:rPr>
        <w:lastRenderedPageBreak/>
        <w:t xml:space="preserve">pomocą w nauce czytania. Są to: książki z serii „Pierwsze czytanki” polecane przez Centrum Edukacji Dziecięcej wyd. Publicat, książki z serii „Czytam sobie” wyd. Egmont, książki z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dużymi literami, książki z obrazkami w tekście, książki do nauki czytania metodą sylabową. Kolejną grupę stanowią książki edukacyjne pozwalające dziecku zrozumieć otaczający świat. Wyróżniamy tu serię „Mądra mysz” wyd. Media Rodzina oraz „Wielkie problemy małych ludzi” wyd. Jedność. Kategorią szczególnie ulubioną przez dzieci są książki z bohaterami baje</w:t>
      </w:r>
      <w:r w:rsidR="00423272">
        <w:rPr>
          <w:rFonts w:ascii="Times New Roman" w:eastAsia="Times New Roman" w:hAnsi="Times New Roman" w:cs="Times New Roman"/>
          <w:lang w:eastAsia="pl-PL"/>
        </w:rPr>
        <w:t>k np. żółwiem Franklinem, świnką</w:t>
      </w:r>
      <w:r w:rsidRPr="004A34E1">
        <w:rPr>
          <w:rFonts w:ascii="Times New Roman" w:eastAsia="Times New Roman" w:hAnsi="Times New Roman" w:cs="Times New Roman"/>
          <w:lang w:eastAsia="pl-PL"/>
        </w:rPr>
        <w:t xml:space="preserve"> Pepą, Elmerem itp. Dzieci starsze najchętniej sięgają po  książki z serii „Koszmarny Karolek”, „Mikołajek”, „Dziennik Cwaniaczka”. Wśród tej grupy wiekowej popularnością cieszą się książki z pogranicza kryminału i</w:t>
      </w:r>
      <w:r w:rsidR="00423272">
        <w:rPr>
          <w:rFonts w:ascii="Times New Roman" w:eastAsia="Times New Roman" w:hAnsi="Times New Roman" w:cs="Times New Roman"/>
          <w:lang w:eastAsia="pl-PL"/>
        </w:rPr>
        <w:t xml:space="preserve"> horroru np. „Przygody Lassego i</w:t>
      </w:r>
      <w:r w:rsidRPr="004A34E1">
        <w:rPr>
          <w:rFonts w:ascii="Times New Roman" w:eastAsia="Times New Roman" w:hAnsi="Times New Roman" w:cs="Times New Roman"/>
          <w:lang w:eastAsia="pl-PL"/>
        </w:rPr>
        <w:t xml:space="preserve"> Mai” M. Widmarka, „Straszna historia” F. Deavy, „Skrzynka potworów” E. Llucha, seria „Lepiej w to uwierz” G. Gortata. Analizując czytelnictwo młodzieży można wyróżnić dwa nurty. Prym wiodą książki o tematyce baśniowej, fantastycznej, których bohaterami są  czarodzieje, elfy, syreny, trolle. Młodzież interesuje tematyka postapokaliptyczna np. „U7” Y.  Greveta, cykl ”Starter” L. Proce. Drugi nurt wyznaczają książki poruszające różne problemy, z jakimi mogą zetknąć się nastolatki: odrzucenie przez rówieśników, kłopoty rodzinne, szkolne itp.  Nadal można zaobserwować powroty do książek M. Musierowicz, L.M. Montgomery, A.  Szklarskiego, Z. Nienackiego. Młodzież często pyta o  książki, które doczekały się swojej ekranizacji</w:t>
      </w:r>
      <w:r w:rsidR="00E21ADA">
        <w:rPr>
          <w:rFonts w:ascii="Times New Roman" w:eastAsia="Times New Roman" w:hAnsi="Times New Roman" w:cs="Times New Roman"/>
          <w:lang w:eastAsia="pl-PL"/>
        </w:rPr>
        <w:t>,</w:t>
      </w:r>
      <w:r w:rsidRPr="004A34E1">
        <w:rPr>
          <w:rFonts w:ascii="Times New Roman" w:eastAsia="Times New Roman" w:hAnsi="Times New Roman" w:cs="Times New Roman"/>
          <w:lang w:eastAsia="pl-PL"/>
        </w:rPr>
        <w:t xml:space="preserve"> np. „Złodziejka książek” M. Zusaka, „Gwiazd naszych wina” J. Greena. Duże zainteresowanie wzbudza cykl książek R.  Ransonma z  dziwnymi, niezwykłymi fotografiami. Młodzi czytelnicy sięgają po książki A.  Sapkowskiego, T. Pratchetta, A. Pilipiuka, S. Kinga. Nie można pominąć także dużej liczby wypożyczeń lektur.</w:t>
      </w:r>
    </w:p>
    <w:p w:rsidR="00423272" w:rsidRDefault="004A34E1" w:rsidP="00423272">
      <w:pPr>
        <w:shd w:val="clear" w:color="auto" w:fill="FFFFFF"/>
        <w:spacing w:after="0" w:line="312" w:lineRule="auto"/>
        <w:ind w:left="708"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W trosce o edukację czytelniczą dzieci i młodzieży Biblioteka wychodzi ze swoimi działaniami na zewnątrz, współdziałając z innymi instytucjami o charakterze edukacyjno-kulturalnym oraz z rodzicami. </w:t>
      </w:r>
    </w:p>
    <w:p w:rsidR="004A34E1" w:rsidRPr="004A34E1" w:rsidRDefault="004A34E1" w:rsidP="00423272">
      <w:pPr>
        <w:shd w:val="clear" w:color="auto" w:fill="FFFFFF"/>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Od wielu lat Biblioteka prowadzi współpracę z Przedszkolem Miejskim w Sławkowie oraz z  Akademią Jasia i Małgosi. Najmłodsi sławkowianie często odwiedzają Bibliotekę, uczestnicząc w cyklicznych spotkaniach, podczas których zwiedzają bibliotekę i poznają jej ofertę, słuchają czytanych książek oraz uczestniczą w różnorodnych imprezach czytelniczych. Biblioteka wzięła udział w akcjach organizowanych przez Przedszkole, takich jak: „Czytanie na dywanie” czy „Poduszka dla Maluszka”</w:t>
      </w:r>
      <w:r w:rsidR="00423272">
        <w:rPr>
          <w:rFonts w:ascii="Times New Roman" w:eastAsia="Times New Roman" w:hAnsi="Times New Roman" w:cs="Times New Roman"/>
          <w:lang w:eastAsia="pl-PL"/>
        </w:rPr>
        <w:t>.</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Cennymi partnerami są dla Biblioteki placówki oświatowe: Szkoła Podstawowa oraz Zespół Szkół w Sławkowie. We współpracy ze szkołami organizowane są spotkania autorskie, lekcje biblioteczne, Noc z Andersenem. </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Regionalny Konkurs Recytatorski dla uczniów szkół podstawowych i gimnazjalnych to  przedsięwzięcie organizowane wspólnie z Miejskim Ośrodkiem Kultury w Sławkowie już od 23 lat. W 2016 roku we współpracy z MOK zorganizowano także grę terenową dla najmłodszych.</w:t>
      </w:r>
    </w:p>
    <w:p w:rsid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23272" w:rsidRDefault="00423272" w:rsidP="004A34E1">
      <w:pPr>
        <w:spacing w:after="0" w:line="312" w:lineRule="auto"/>
        <w:jc w:val="both"/>
        <w:rPr>
          <w:rFonts w:ascii="Times New Roman" w:eastAsia="Times New Roman" w:hAnsi="Times New Roman" w:cs="Times New Roman"/>
          <w:color w:val="4472C4" w:themeColor="accent5"/>
          <w:lang w:eastAsia="pl-PL"/>
        </w:rPr>
      </w:pPr>
    </w:p>
    <w:p w:rsidR="00423272" w:rsidRPr="004A34E1" w:rsidRDefault="00423272"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223AC2" w:rsidP="004A34E1">
      <w:pPr>
        <w:spacing w:after="0" w:line="312" w:lineRule="auto"/>
        <w:ind w:left="705" w:hanging="705"/>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3.2.1</w:t>
      </w:r>
      <w:r w:rsidR="004A34E1" w:rsidRPr="004A34E1">
        <w:rPr>
          <w:rFonts w:ascii="Times New Roman" w:eastAsia="Times New Roman" w:hAnsi="Times New Roman" w:cs="Times New Roman"/>
          <w:lang w:eastAsia="pl-PL"/>
        </w:rPr>
        <w:t>.</w:t>
      </w:r>
      <w:r w:rsidR="004A34E1" w:rsidRPr="004A34E1">
        <w:rPr>
          <w:rFonts w:ascii="Times New Roman" w:eastAsia="Times New Roman" w:hAnsi="Times New Roman" w:cs="Times New Roman"/>
          <w:lang w:eastAsia="pl-PL"/>
        </w:rPr>
        <w:tab/>
        <w:t>W ramach promocji Biblioteki oraz popularyzacji książek i czytelnictwa wśród dzieci i  młodzieży Biblioteka w 2016 roku zorganizowała:</w:t>
      </w:r>
    </w:p>
    <w:p w:rsidR="004A34E1" w:rsidRPr="004A34E1" w:rsidRDefault="004A34E1" w:rsidP="004A34E1">
      <w:pPr>
        <w:spacing w:after="0" w:line="312" w:lineRule="auto"/>
        <w:ind w:left="705"/>
        <w:jc w:val="both"/>
        <w:rPr>
          <w:rFonts w:ascii="Times New Roman" w:eastAsia="Times New Roman" w:hAnsi="Times New Roman" w:cs="Times New Roman"/>
          <w:u w:val="single"/>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„Czytam sobie w bibliotece”</w:t>
      </w:r>
      <w:r w:rsidRPr="004A34E1">
        <w:rPr>
          <w:rFonts w:ascii="Times New Roman" w:eastAsia="Times New Roman" w:hAnsi="Times New Roman" w:cs="Times New Roman"/>
          <w:lang w:eastAsia="pl-PL"/>
        </w:rPr>
        <w:t xml:space="preserve"> – spotkanie dla dzieci w wieku przedszkolnym inspirowane książką W. Widłaka „Syrop maga Abrakabry” (12.01)</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BiblioFerie</w:t>
      </w:r>
      <w:r w:rsidRPr="004A34E1">
        <w:rPr>
          <w:rFonts w:ascii="Times New Roman" w:eastAsia="Times New Roman" w:hAnsi="Times New Roman" w:cs="Times New Roman"/>
          <w:lang w:eastAsia="pl-PL"/>
        </w:rPr>
        <w:t xml:space="preserve"> - cykl zajęć dla dzieci w wieku od 6 do 12 lat, zorganizowane podczas ferii zimowych pod hasłem „Z Biblioteką na Dzikim Zachodzie”. W ramach zajęć zorganizowano m.in. „Na tropie złota” – gry, zabawy, rebusy związane z Dzikim Zachodem, „Rogate Rancho” – zajęcia poświęcone postaciom z Dzikiego Zachodu, </w:t>
      </w:r>
      <w:r w:rsidR="00423272">
        <w:rPr>
          <w:rFonts w:ascii="Times New Roman" w:eastAsia="Times New Roman" w:hAnsi="Times New Roman" w:cs="Times New Roman"/>
          <w:lang w:eastAsia="pl-PL"/>
        </w:rPr>
        <w:t>„</w:t>
      </w:r>
      <w:r w:rsidRPr="004A34E1">
        <w:rPr>
          <w:rFonts w:ascii="Times New Roman" w:eastAsia="Times New Roman" w:hAnsi="Times New Roman" w:cs="Times New Roman"/>
          <w:lang w:eastAsia="pl-PL"/>
        </w:rPr>
        <w:t>Westernowe miasteczko</w:t>
      </w:r>
      <w:r w:rsidR="00423272">
        <w:rPr>
          <w:rFonts w:ascii="Times New Roman" w:eastAsia="Times New Roman" w:hAnsi="Times New Roman" w:cs="Times New Roman"/>
          <w:lang w:eastAsia="pl-PL"/>
        </w:rPr>
        <w:t>”</w:t>
      </w:r>
      <w:r w:rsidRPr="004A34E1">
        <w:rPr>
          <w:rFonts w:ascii="Times New Roman" w:eastAsia="Times New Roman" w:hAnsi="Times New Roman" w:cs="Times New Roman"/>
          <w:lang w:eastAsia="pl-PL"/>
        </w:rPr>
        <w:t xml:space="preserve"> – zajęcia plastyczne, „Przysmaki Dzikiego Zachodu” – zajęcia kulinarne. Na zakończenie Biblioferii zorganizowano wystawę, na której zaprezentowane zostały prace wykonane przez dzieci (15.02 – 24.02)</w:t>
      </w:r>
    </w:p>
    <w:p w:rsidR="004A34E1" w:rsidRPr="004A34E1" w:rsidRDefault="004A34E1" w:rsidP="004A34E1">
      <w:pPr>
        <w:spacing w:after="0" w:line="312" w:lineRule="auto"/>
        <w:jc w:val="both"/>
        <w:rPr>
          <w:rFonts w:ascii="Times New Roman" w:eastAsia="Times New Roman" w:hAnsi="Times New Roman" w:cs="Times New Roman"/>
          <w:color w:val="4472C4" w:themeColor="accent5"/>
          <w:u w:val="single"/>
          <w:lang w:eastAsia="pl-PL"/>
        </w:rPr>
      </w:pPr>
    </w:p>
    <w:p w:rsidR="004A34E1" w:rsidRPr="004A34E1" w:rsidRDefault="004A34E1" w:rsidP="004A34E1">
      <w:pPr>
        <w:spacing w:after="0" w:line="312" w:lineRule="auto"/>
        <w:ind w:left="720" w:hanging="1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XXIII Regionalny Konkurs Recytatorski</w:t>
      </w:r>
      <w:r w:rsidRPr="004A34E1">
        <w:rPr>
          <w:rFonts w:ascii="Times New Roman" w:eastAsia="Times New Roman" w:hAnsi="Times New Roman" w:cs="Times New Roman"/>
          <w:lang w:eastAsia="pl-PL"/>
        </w:rPr>
        <w:t xml:space="preserve"> dla uczniów szkół podstawowych i gimnazjalnych, zorganizowany we współpracy z Miejskim Ośrodkiem Kultury w Sławkowie (04.03)</w:t>
      </w:r>
    </w:p>
    <w:p w:rsidR="004A34E1" w:rsidRPr="004A34E1" w:rsidRDefault="004A34E1" w:rsidP="004A34E1">
      <w:pPr>
        <w:spacing w:after="0" w:line="312" w:lineRule="auto"/>
        <w:ind w:left="720" w:hanging="15"/>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„Noc z Andersenem”</w:t>
      </w:r>
      <w:r w:rsidRPr="004A34E1">
        <w:rPr>
          <w:rFonts w:ascii="Times New Roman" w:eastAsia="Times New Roman" w:hAnsi="Times New Roman" w:cs="Times New Roman"/>
          <w:lang w:eastAsia="pl-PL"/>
        </w:rPr>
        <w:t xml:space="preserve"> – całonocna impreza czytelnicza dla uczniów klas trzecich Szkoły Podstawowej, zorganizowana z okazji międzynarodowych obchodów urodzin C.H. Andersena oraz Międzynarodowego Dnia Książki Dziecięcej i (01/02.04)</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Z okazji Międzynarodowego Dnia Książki Dziecięcej zorganizowano również zajęcia dla przedszkolaków z Akademii Jasia i Małgosi, podczas których zaprezentowano różne formy książeczek dla dzieci (04.04)</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„Magiczne miasteczko Sławków”</w:t>
      </w:r>
      <w:r w:rsidRPr="004A34E1">
        <w:rPr>
          <w:rFonts w:ascii="Times New Roman" w:eastAsia="Times New Roman" w:hAnsi="Times New Roman" w:cs="Times New Roman"/>
          <w:lang w:eastAsia="pl-PL"/>
        </w:rPr>
        <w:t xml:space="preserve"> – spektakl kukiełkowy przybliżający historię i zabytki naszego miasta, przygotowany dla przedszkolaków z okazji obchodów  XV Ogólnopolskiego Tygodnia Czytania Dzieciom oraz obchodów Roku Jubileuszowego 730 lat Sławkowa (08,  09.06)</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„Wakacje po Sławkowsku”</w:t>
      </w:r>
      <w:r w:rsidRPr="004A34E1">
        <w:rPr>
          <w:rFonts w:ascii="Times New Roman" w:eastAsia="Times New Roman" w:hAnsi="Times New Roman" w:cs="Times New Roman"/>
          <w:sz w:val="24"/>
          <w:szCs w:val="24"/>
          <w:lang w:eastAsia="pl-PL"/>
        </w:rPr>
        <w:t xml:space="preserve"> </w:t>
      </w:r>
      <w:r w:rsidRPr="004A34E1">
        <w:rPr>
          <w:rFonts w:ascii="Times New Roman" w:eastAsia="Times New Roman" w:hAnsi="Times New Roman" w:cs="Times New Roman"/>
          <w:lang w:eastAsia="pl-PL"/>
        </w:rPr>
        <w:t>– cykl spotkań dla dzieci, odbywające się w każdą wakacyjną środę, w godzinach od 12.00 do 14.00</w:t>
      </w:r>
      <w:r w:rsidRPr="004A34E1">
        <w:rPr>
          <w:rFonts w:ascii="Times New Roman" w:eastAsia="Times New Roman" w:hAnsi="Times New Roman" w:cs="Times New Roman"/>
          <w:color w:val="4472C4" w:themeColor="accent5"/>
          <w:lang w:eastAsia="pl-PL"/>
        </w:rPr>
        <w:t xml:space="preserve">. </w:t>
      </w:r>
      <w:r w:rsidRPr="004A34E1">
        <w:rPr>
          <w:rFonts w:ascii="Times New Roman" w:eastAsia="Times New Roman" w:hAnsi="Times New Roman" w:cs="Times New Roman"/>
          <w:lang w:eastAsia="pl-PL"/>
        </w:rPr>
        <w:t>W ramach zajęć miały miejsce m. in.: tworzenie makiety Sławkowa, lepienie pierogów w Austerii, tworzenie witraży z motywem herbu Sławkowa, tworzenie wielkoformatowej gry planszowej o Sławkowie, tworzenie pocztówki ze Sławkowa, „Śladami bobra”, wycieczka krajoznawczo-przyrodnicza połączona z piknikiem,  a wszystko to w ramach obchodów Jubileuszu 730-lecia naszego miasta.</w:t>
      </w:r>
    </w:p>
    <w:p w:rsidR="004A34E1" w:rsidRPr="004A34E1" w:rsidRDefault="004A34E1" w:rsidP="004A34E1">
      <w:pPr>
        <w:spacing w:after="0" w:line="312" w:lineRule="auto"/>
        <w:ind w:left="705"/>
        <w:jc w:val="both"/>
        <w:rPr>
          <w:rFonts w:ascii="Times New Roman" w:eastAsia="Times New Roman" w:hAnsi="Times New Roman" w:cs="Times New Roman"/>
          <w:color w:val="4472C4" w:themeColor="accent5"/>
          <w:u w:val="single"/>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Obchody Międzynarodowego Dnia Postaci z Bajek</w:t>
      </w:r>
      <w:r w:rsidRPr="004A34E1">
        <w:rPr>
          <w:rFonts w:ascii="Times New Roman" w:eastAsia="Times New Roman" w:hAnsi="Times New Roman" w:cs="Times New Roman"/>
          <w:lang w:eastAsia="pl-PL"/>
        </w:rPr>
        <w:t xml:space="preserve"> – loteria fantowa dla najmłodszych czytelników (05.09)</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„Sławków pełen zagadek”</w:t>
      </w:r>
      <w:r w:rsidRPr="004A34E1">
        <w:rPr>
          <w:rFonts w:ascii="Times New Roman" w:eastAsia="Times New Roman" w:hAnsi="Times New Roman" w:cs="Times New Roman"/>
          <w:lang w:eastAsia="pl-PL"/>
        </w:rPr>
        <w:t xml:space="preserve"> czyli terenowa gra dla najmłodszych, zorganizowana we współpracy z Miejskim Ośrodkiem Kultury w Sławkowie (16.09)</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lastRenderedPageBreak/>
        <w:t>„Zabawy z poezją”</w:t>
      </w:r>
      <w:r w:rsidRPr="004A34E1">
        <w:rPr>
          <w:rFonts w:ascii="Times New Roman" w:eastAsia="Times New Roman" w:hAnsi="Times New Roman" w:cs="Times New Roman"/>
          <w:lang w:eastAsia="pl-PL"/>
        </w:rPr>
        <w:t xml:space="preserve"> – zajęcia dla dzieci do lat 5, zorganizowane w ramach Sławkowskiej Jesieni Poetyckiej (12.10)</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„Nadchodzi Pippi”</w:t>
      </w:r>
      <w:r w:rsidRPr="004A34E1">
        <w:rPr>
          <w:rFonts w:ascii="Times New Roman" w:eastAsia="Times New Roman" w:hAnsi="Times New Roman" w:cs="Times New Roman"/>
          <w:lang w:eastAsia="pl-PL"/>
        </w:rPr>
        <w:t xml:space="preserve"> – przedstawienie teatralne dla dzieci, w wykonaniu krakowskiego teatru TAK (24.10)</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Ponadto w Bibliotece odbyły się:</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 lekcje biblioteczne dla przedszkolaków, których tematyka obejmowała zagadnienia dotyczące zasad korzystania z biblioteki oraz budowy i historii książki. W 2016 roku przeprowadzono 2 </w:t>
      </w:r>
      <w:r w:rsidR="00423272">
        <w:rPr>
          <w:rFonts w:ascii="Times New Roman" w:eastAsia="Times New Roman" w:hAnsi="Times New Roman" w:cs="Times New Roman"/>
          <w:lang w:eastAsia="pl-PL"/>
        </w:rPr>
        <w:t> </w:t>
      </w:r>
      <w:r w:rsidRPr="004A34E1">
        <w:rPr>
          <w:rFonts w:ascii="Times New Roman" w:eastAsia="Times New Roman" w:hAnsi="Times New Roman" w:cs="Times New Roman"/>
          <w:lang w:eastAsia="pl-PL"/>
        </w:rPr>
        <w:t>lekcje biblioteczne tego typu,</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„Życie w kropli wody” – lekcja biblioteczna dla przedszkolaków, zorganizowana w ramach Tygodnia Edukacji Globalnej (14.11).</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spotkania i wizyty przedszkolaków, podczas których prezentowano książki na wybrany temat, głośno czytano bajki i wierszyki. W 2016 roku odbyło się 8 spotkań tego typu. Przykładowe tematy spotkań to: wiosna i Święta Wielkanocne ; morza, oceany i zwierzęta morskie ; zwierzęta leśne ; pory roku.</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Biblioteka uczestniczyła również w akcji zorganizowanej przez Przedszkole Miejskie w  Sławkowie, zorganizowanej pod hasłem „Czytanie na dywanie” (15.01, 19.01, 25.01, 08.02)</w:t>
      </w:r>
    </w:p>
    <w:p w:rsidR="004A34E1" w:rsidRPr="004A34E1" w:rsidRDefault="004A34E1" w:rsidP="004A34E1">
      <w:pPr>
        <w:spacing w:after="0" w:line="312" w:lineRule="auto"/>
        <w:ind w:left="705"/>
        <w:jc w:val="both"/>
        <w:rPr>
          <w:rFonts w:ascii="Times New Roman" w:eastAsia="Times New Roman" w:hAnsi="Times New Roman" w:cs="Times New Roman"/>
          <w:color w:val="4472C4" w:themeColor="accent5"/>
          <w:lang w:eastAsia="pl-PL"/>
        </w:rPr>
      </w:pPr>
    </w:p>
    <w:p w:rsidR="004A34E1" w:rsidRPr="004A34E1" w:rsidRDefault="00223AC2" w:rsidP="004A34E1">
      <w:pPr>
        <w:spacing w:after="0" w:line="312" w:lineRule="auto"/>
        <w:jc w:val="both"/>
        <w:outlineLvl w:val="0"/>
        <w:rPr>
          <w:rFonts w:ascii="Times New Roman" w:eastAsia="Times New Roman" w:hAnsi="Times New Roman" w:cs="Times New Roman"/>
          <w:b/>
          <w:lang w:eastAsia="pl-PL"/>
        </w:rPr>
      </w:pPr>
      <w:r>
        <w:rPr>
          <w:rFonts w:ascii="Times New Roman" w:eastAsia="Times New Roman" w:hAnsi="Times New Roman" w:cs="Times New Roman"/>
          <w:b/>
          <w:lang w:eastAsia="pl-PL"/>
        </w:rPr>
        <w:t>4</w:t>
      </w:r>
      <w:r w:rsidR="004A34E1" w:rsidRPr="004A34E1">
        <w:rPr>
          <w:rFonts w:ascii="Times New Roman" w:eastAsia="Times New Roman" w:hAnsi="Times New Roman" w:cs="Times New Roman"/>
          <w:b/>
          <w:lang w:eastAsia="pl-PL"/>
        </w:rPr>
        <w:t>.</w:t>
      </w:r>
      <w:r w:rsidR="004A34E1" w:rsidRPr="004A34E1">
        <w:rPr>
          <w:rFonts w:ascii="Times New Roman" w:eastAsia="Times New Roman" w:hAnsi="Times New Roman" w:cs="Times New Roman"/>
          <w:b/>
          <w:lang w:eastAsia="pl-PL"/>
        </w:rPr>
        <w:tab/>
        <w:t>Obsługa osób niepełnosprawnych i specjalnych grup użytkowników.</w:t>
      </w:r>
    </w:p>
    <w:p w:rsidR="004A34E1" w:rsidRPr="004A34E1" w:rsidRDefault="004A34E1" w:rsidP="004A34E1">
      <w:pPr>
        <w:spacing w:after="0" w:line="312" w:lineRule="auto"/>
        <w:jc w:val="both"/>
        <w:outlineLvl w:val="0"/>
        <w:rPr>
          <w:rFonts w:ascii="Times New Roman" w:eastAsia="Times New Roman" w:hAnsi="Times New Roman" w:cs="Times New Roman"/>
          <w:b/>
          <w:lang w:eastAsia="pl-PL"/>
        </w:rPr>
      </w:pPr>
    </w:p>
    <w:p w:rsidR="004A34E1" w:rsidRPr="004A34E1" w:rsidRDefault="004A34E1" w:rsidP="004A34E1">
      <w:pPr>
        <w:spacing w:after="0" w:line="312" w:lineRule="auto"/>
        <w:ind w:left="703"/>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 </w:t>
      </w:r>
      <w:r w:rsidRPr="004A34E1">
        <w:rPr>
          <w:rFonts w:ascii="Times New Roman" w:eastAsia="Times New Roman" w:hAnsi="Times New Roman" w:cs="Times New Roman"/>
          <w:b/>
          <w:lang w:eastAsia="pl-PL"/>
        </w:rPr>
        <w:t>„O finansach… w bibliotece”</w:t>
      </w:r>
      <w:r w:rsidRPr="004A34E1">
        <w:rPr>
          <w:rFonts w:ascii="Times New Roman" w:eastAsia="Times New Roman" w:hAnsi="Times New Roman" w:cs="Times New Roman"/>
          <w:lang w:eastAsia="pl-PL"/>
        </w:rPr>
        <w:t xml:space="preserve"> -  cykl szkoleń dla seniorów. W ramach cyklu zorganizowano pięć spotkań poświęconych edukacji ekonomicznej. W ramach cyklu miało również miejsce spotkanie z powiatowym rzecznikiem praw konsumenta, Marią Hudzik  (12.04 - 28.04)</w:t>
      </w:r>
    </w:p>
    <w:p w:rsidR="004A34E1" w:rsidRPr="004A34E1" w:rsidRDefault="004A34E1" w:rsidP="004A34E1">
      <w:pPr>
        <w:spacing w:after="0" w:line="312" w:lineRule="auto"/>
        <w:ind w:left="703"/>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 </w:t>
      </w:r>
      <w:r w:rsidRPr="004A34E1">
        <w:rPr>
          <w:rFonts w:ascii="Times New Roman" w:eastAsia="Times New Roman" w:hAnsi="Times New Roman" w:cs="Times New Roman"/>
          <w:b/>
          <w:lang w:eastAsia="pl-PL"/>
        </w:rPr>
        <w:t xml:space="preserve">„Praktyczne wykorzystanie zasobów Internetu” </w:t>
      </w:r>
      <w:r w:rsidRPr="004A34E1">
        <w:rPr>
          <w:rFonts w:ascii="Times New Roman" w:eastAsia="Times New Roman" w:hAnsi="Times New Roman" w:cs="Times New Roman"/>
          <w:lang w:eastAsia="pl-PL"/>
        </w:rPr>
        <w:t>- warsztaty komputerowe dla grupy „Razem Łatwiej”. Tematyka zajęć: Internet, zakładanie i obsługa poczty elektronicznej, strony internetowe poświęcone naszemu miastu, serwisy społecznościowe,  portale związane z wyszukiwaniem pracy i poświęcone osobom niepełnosprawnym (03.10, 12.10, 20.10, 28.10)</w:t>
      </w:r>
    </w:p>
    <w:p w:rsidR="004A34E1" w:rsidRPr="004A34E1" w:rsidRDefault="004A34E1" w:rsidP="004A34E1">
      <w:pPr>
        <w:spacing w:after="0" w:line="312" w:lineRule="auto"/>
        <w:ind w:left="703"/>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 </w:t>
      </w:r>
      <w:r w:rsidRPr="004A34E1">
        <w:rPr>
          <w:rFonts w:ascii="Times New Roman" w:eastAsia="Times New Roman" w:hAnsi="Times New Roman" w:cs="Times New Roman"/>
          <w:b/>
          <w:lang w:eastAsia="pl-PL"/>
        </w:rPr>
        <w:t>Warsztaty malarskie</w:t>
      </w:r>
      <w:r w:rsidRPr="004A34E1">
        <w:rPr>
          <w:rFonts w:ascii="Times New Roman" w:eastAsia="Times New Roman" w:hAnsi="Times New Roman" w:cs="Times New Roman"/>
          <w:lang w:eastAsia="pl-PL"/>
        </w:rPr>
        <w:t xml:space="preserve"> zorganizowane z okazji Dnia Seniora (21.10)</w:t>
      </w:r>
    </w:p>
    <w:p w:rsidR="004A34E1" w:rsidRPr="004A34E1" w:rsidRDefault="004A34E1" w:rsidP="004A34E1">
      <w:pPr>
        <w:spacing w:after="0" w:line="312" w:lineRule="auto"/>
        <w:ind w:left="540"/>
        <w:jc w:val="both"/>
        <w:rPr>
          <w:rFonts w:ascii="Times New Roman" w:eastAsia="Times New Roman" w:hAnsi="Times New Roman" w:cs="Times New Roman"/>
          <w:color w:val="4472C4" w:themeColor="accent5"/>
          <w:lang w:eastAsia="pl-PL"/>
        </w:rPr>
      </w:pPr>
    </w:p>
    <w:p w:rsidR="00D82795" w:rsidRDefault="004A34E1" w:rsidP="004A34E1">
      <w:pPr>
        <w:spacing w:after="0" w:line="312" w:lineRule="auto"/>
        <w:ind w:left="703"/>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W 2016 roku, wzorem lat ubiegłych Biblioteka udzielała indywidualnego instruktażu w  zakresie obsługi komputera dla czytelników, którzy zgłaszali taką potrzebę. Były to  przeważn</w:t>
      </w:r>
      <w:r w:rsidR="001658E1">
        <w:rPr>
          <w:rFonts w:ascii="Times New Roman" w:eastAsia="Times New Roman" w:hAnsi="Times New Roman" w:cs="Times New Roman"/>
          <w:lang w:eastAsia="pl-PL"/>
        </w:rPr>
        <w:t>i</w:t>
      </w:r>
    </w:p>
    <w:p w:rsidR="004A34E1" w:rsidRPr="004A34E1" w:rsidRDefault="004A34E1" w:rsidP="004A34E1">
      <w:pPr>
        <w:spacing w:after="0" w:line="312" w:lineRule="auto"/>
        <w:ind w:left="703"/>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e osoby bezrobotne, poszukujące pracy. Najczęściej powtarzająca się tematyka udzielanego instruktażu to redagowanie życiorysu, CV, listu motywacyjnego i innych dokumentów niezbędnych w ubieganiu się o pracę, zakładanie konta poczty elektronicznej i  pomoc w wysyłaniu dokumentów pocztą elektroniczną, wyszukiwanie różnorodnych informacji przez Internet, nauka obsługi MC Word.</w:t>
      </w:r>
    </w:p>
    <w:p w:rsidR="004A34E1" w:rsidRPr="004A34E1" w:rsidRDefault="004A34E1" w:rsidP="004A34E1">
      <w:pPr>
        <w:spacing w:after="0" w:line="312" w:lineRule="auto"/>
        <w:ind w:left="708" w:firstLine="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W 2016 roku kontynuowano usługę „Książka na telefon” oraz współpracę z Miejską                               i Powiatową Biblioteką Publiczną w Będzinie w zakresie wypożyczeń międzybibliotecznych audiobooków. Dzięki życzliwości będzińskiej biblioteki sławkowscy czytelnicy mieli dostęp do tego typu publikacji (Biblioteka nie posiada środków na gromadzenie audiobooków </w:t>
      </w:r>
      <w:r w:rsidRPr="004A34E1">
        <w:rPr>
          <w:rFonts w:ascii="Times New Roman" w:eastAsia="Times New Roman" w:hAnsi="Times New Roman" w:cs="Times New Roman"/>
          <w:lang w:eastAsia="pl-PL"/>
        </w:rPr>
        <w:lastRenderedPageBreak/>
        <w:t>i  e- booków). Z powyższej możliwości skorzystały  22 osoby, którym udostępniono  32  audiobooki.</w:t>
      </w:r>
    </w:p>
    <w:p w:rsidR="004A34E1" w:rsidRPr="004A34E1" w:rsidRDefault="004A34E1" w:rsidP="004A34E1">
      <w:pPr>
        <w:spacing w:after="0" w:line="312" w:lineRule="auto"/>
        <w:ind w:left="708" w:firstLine="708"/>
        <w:jc w:val="both"/>
        <w:rPr>
          <w:rFonts w:ascii="Times New Roman" w:eastAsia="Times New Roman" w:hAnsi="Times New Roman" w:cs="Times New Roman"/>
          <w:color w:val="4472C4" w:themeColor="accent5"/>
          <w:lang w:eastAsia="pl-PL"/>
        </w:rPr>
      </w:pPr>
    </w:p>
    <w:p w:rsidR="004A34E1" w:rsidRPr="004A34E1" w:rsidRDefault="00223AC2" w:rsidP="004A34E1">
      <w:pPr>
        <w:spacing w:after="0" w:line="312"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5</w:t>
      </w:r>
      <w:r w:rsidR="004A34E1" w:rsidRPr="004A34E1">
        <w:rPr>
          <w:rFonts w:ascii="Times New Roman" w:eastAsia="Times New Roman" w:hAnsi="Times New Roman" w:cs="Times New Roman"/>
          <w:b/>
          <w:lang w:eastAsia="pl-PL"/>
        </w:rPr>
        <w:t>.</w:t>
      </w:r>
      <w:r w:rsidR="004A34E1" w:rsidRPr="004A34E1">
        <w:rPr>
          <w:rFonts w:ascii="Times New Roman" w:eastAsia="Times New Roman" w:hAnsi="Times New Roman" w:cs="Times New Roman"/>
          <w:b/>
          <w:lang w:eastAsia="pl-PL"/>
        </w:rPr>
        <w:tab/>
        <w:t>Sprawy kadrowe i sytuacja zawodowa bibliotekarzy.</w:t>
      </w:r>
    </w:p>
    <w:p w:rsidR="004A34E1" w:rsidRPr="004A34E1" w:rsidRDefault="004A34E1" w:rsidP="004A34E1">
      <w:pPr>
        <w:spacing w:after="0" w:line="312" w:lineRule="auto"/>
        <w:jc w:val="both"/>
        <w:rPr>
          <w:rFonts w:ascii="Times New Roman" w:eastAsia="Times New Roman" w:hAnsi="Times New Roman" w:cs="Times New Roman"/>
          <w:b/>
          <w:color w:val="4472C4" w:themeColor="accent5"/>
          <w:lang w:eastAsia="pl-PL"/>
        </w:rPr>
      </w:pPr>
    </w:p>
    <w:p w:rsid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W 2016 roku w Miejskiej Bibliotece Publicznej w Sławkowie zatrudnionych było 7 osób, w  tym na stanowiskach działalności podstawowej 5 osób. Wszyscy pracownicy merytoryczni posiadają wykształcenie wyższe bibliotekarskie. Na stanowiska administracji i obsługi przypadał 1 etat. Stan zatrudnienia pozostał zatem niezmienny.</w:t>
      </w:r>
    </w:p>
    <w:p w:rsidR="00223AC2" w:rsidRPr="004A34E1" w:rsidRDefault="00223AC2" w:rsidP="004A34E1">
      <w:pPr>
        <w:spacing w:after="0" w:line="312" w:lineRule="auto"/>
        <w:ind w:left="705" w:hanging="705"/>
        <w:jc w:val="both"/>
        <w:rPr>
          <w:rFonts w:ascii="Times New Roman" w:eastAsia="Times New Roman" w:hAnsi="Times New Roman" w:cs="Times New Roman"/>
          <w:lang w:eastAsia="pl-PL"/>
        </w:rPr>
      </w:pPr>
    </w:p>
    <w:p w:rsidR="004A34E1" w:rsidRPr="004A34E1" w:rsidRDefault="004A34E1" w:rsidP="00223AC2">
      <w:pPr>
        <w:spacing w:after="0" w:line="312" w:lineRule="auto"/>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     </w:t>
      </w:r>
      <w:r w:rsidR="00223AC2">
        <w:rPr>
          <w:rFonts w:ascii="Times New Roman" w:eastAsia="Times New Roman" w:hAnsi="Times New Roman" w:cs="Times New Roman"/>
          <w:lang w:eastAsia="pl-PL"/>
        </w:rPr>
        <w:tab/>
      </w:r>
      <w:r w:rsidRPr="004A34E1">
        <w:rPr>
          <w:rFonts w:ascii="Times New Roman" w:eastAsia="Times New Roman" w:hAnsi="Times New Roman" w:cs="Times New Roman"/>
          <w:lang w:eastAsia="pl-PL"/>
        </w:rPr>
        <w:t>Pracownicy Biblioteki brali udział w następujących formach doskonalenia:</w:t>
      </w:r>
    </w:p>
    <w:p w:rsidR="004A34E1" w:rsidRPr="004A34E1" w:rsidRDefault="004A34E1" w:rsidP="004A34E1">
      <w:pPr>
        <w:spacing w:after="0" w:line="312" w:lineRule="auto"/>
        <w:jc w:val="both"/>
        <w:rPr>
          <w:rFonts w:ascii="Times New Roman" w:eastAsia="Times New Roman" w:hAnsi="Times New Roman" w:cs="Times New Roman"/>
          <w:lang w:eastAsia="pl-PL"/>
        </w:rPr>
      </w:pPr>
    </w:p>
    <w:p w:rsidR="004A34E1" w:rsidRPr="004A34E1" w:rsidRDefault="004A34E1" w:rsidP="004A34E1">
      <w:pPr>
        <w:spacing w:after="0" w:line="312" w:lineRule="auto"/>
        <w:ind w:firstLine="705"/>
        <w:jc w:val="both"/>
        <w:rPr>
          <w:rFonts w:ascii="Times New Roman" w:eastAsia="Times New Roman" w:hAnsi="Times New Roman" w:cs="Times New Roman"/>
          <w:u w:val="single"/>
          <w:lang w:eastAsia="pl-PL"/>
        </w:rPr>
      </w:pPr>
      <w:r w:rsidRPr="004A34E1">
        <w:rPr>
          <w:rFonts w:ascii="Times New Roman" w:eastAsia="Times New Roman" w:hAnsi="Times New Roman" w:cs="Times New Roman"/>
          <w:u w:val="single"/>
          <w:lang w:eastAsia="pl-PL"/>
        </w:rPr>
        <w:t>Szkolenia organizowane przez Bibliotekę Śląską:</w:t>
      </w:r>
    </w:p>
    <w:p w:rsidR="004A34E1" w:rsidRPr="004A34E1" w:rsidRDefault="004A34E1" w:rsidP="004A34E1">
      <w:pPr>
        <w:spacing w:after="0" w:line="312" w:lineRule="auto"/>
        <w:ind w:firstLine="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Archiwum zakładowe w bibliotece – organizacja i prowadzenie (07.04)</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outlineLvl w:val="0"/>
        <w:rPr>
          <w:rFonts w:ascii="Times New Roman" w:eastAsia="Times New Roman" w:hAnsi="Times New Roman" w:cs="Times New Roman"/>
          <w:u w:val="single"/>
          <w:lang w:eastAsia="pl-PL"/>
        </w:rPr>
      </w:pPr>
      <w:r w:rsidRPr="004A34E1">
        <w:rPr>
          <w:rFonts w:ascii="Times New Roman" w:eastAsia="Times New Roman" w:hAnsi="Times New Roman" w:cs="Times New Roman"/>
          <w:u w:val="single"/>
          <w:lang w:eastAsia="pl-PL"/>
        </w:rPr>
        <w:t>Szkolenia organizowane przez Miejską i Powiatową Bibliotekę Publiczną w Będzinie:</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Tworzenie prezentacji z wykorzystaniem oprogramowania Prezi (14.01),</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„Deskryptory Biblioteki Narodowej” (04.02)</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„Animator zabaw dla dzieci – moduł malowania twarzy i modelowania balonów” (03.03)</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szkolenie na temat dezynfekcji, czyszczenia, konserwacji i odkwaszania zbiorów (21.04)</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„Prawidłowe zarządzanie instytucją kultury. Odpowiedzialność i konsekwencje” (24.03)</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„Kierownik wycieczek szkolnych” (30.05)</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„Exell – kurs podstawowy” (23.06)</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Grafika komputerowa (15, 16.09)</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kurs florystyczny (07, 08.11)</w:t>
      </w:r>
    </w:p>
    <w:p w:rsidR="004A34E1" w:rsidRPr="004A34E1" w:rsidRDefault="004A34E1" w:rsidP="004A34E1">
      <w:pPr>
        <w:spacing w:after="0" w:line="312" w:lineRule="auto"/>
        <w:ind w:left="705"/>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5"/>
        <w:jc w:val="both"/>
        <w:outlineLvl w:val="0"/>
        <w:rPr>
          <w:rFonts w:ascii="Times New Roman" w:eastAsia="Times New Roman" w:hAnsi="Times New Roman" w:cs="Times New Roman"/>
          <w:u w:val="single"/>
          <w:lang w:eastAsia="pl-PL"/>
        </w:rPr>
      </w:pPr>
      <w:r w:rsidRPr="004A34E1">
        <w:rPr>
          <w:rFonts w:ascii="Times New Roman" w:eastAsia="Times New Roman" w:hAnsi="Times New Roman" w:cs="Times New Roman"/>
          <w:u w:val="single"/>
          <w:lang w:eastAsia="pl-PL"/>
        </w:rPr>
        <w:t xml:space="preserve">Szkolenia organizowane przez Miejską Bibliotekę Publiczną w Gliwicach: </w:t>
      </w:r>
    </w:p>
    <w:p w:rsidR="004A34E1" w:rsidRPr="004A34E1" w:rsidRDefault="004A34E1" w:rsidP="004A34E1">
      <w:pPr>
        <w:spacing w:after="0" w:line="312" w:lineRule="auto"/>
        <w:ind w:left="705"/>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color w:val="4472C4" w:themeColor="accent5"/>
          <w:lang w:eastAsia="pl-PL"/>
        </w:rPr>
        <w:t xml:space="preserve">- </w:t>
      </w:r>
      <w:r w:rsidRPr="004A34E1">
        <w:rPr>
          <w:rFonts w:ascii="Times New Roman" w:eastAsia="Times New Roman" w:hAnsi="Times New Roman" w:cs="Times New Roman"/>
          <w:lang w:eastAsia="pl-PL"/>
        </w:rPr>
        <w:t>„Inspiracja – Innowacja - Integracja” (13.10)</w:t>
      </w:r>
    </w:p>
    <w:p w:rsidR="004A34E1" w:rsidRPr="004A34E1" w:rsidRDefault="004A34E1" w:rsidP="004A34E1">
      <w:pPr>
        <w:spacing w:after="0" w:line="312" w:lineRule="auto"/>
        <w:jc w:val="both"/>
        <w:rPr>
          <w:rFonts w:ascii="Times New Roman" w:eastAsia="Times New Roman" w:hAnsi="Times New Roman" w:cs="Times New Roman"/>
          <w:color w:val="4472C4" w:themeColor="accent5"/>
          <w:lang w:eastAsia="pl-PL"/>
        </w:rPr>
      </w:pPr>
    </w:p>
    <w:p w:rsidR="004A34E1" w:rsidRPr="004A34E1" w:rsidRDefault="004A34E1" w:rsidP="004A34E1">
      <w:pPr>
        <w:spacing w:after="0" w:line="312" w:lineRule="auto"/>
        <w:ind w:left="708"/>
        <w:jc w:val="both"/>
        <w:rPr>
          <w:rFonts w:ascii="Times New Roman" w:eastAsia="Times New Roman" w:hAnsi="Times New Roman" w:cs="Times New Roman"/>
          <w:u w:val="single"/>
          <w:lang w:eastAsia="pl-PL"/>
        </w:rPr>
      </w:pPr>
      <w:r w:rsidRPr="004A34E1">
        <w:rPr>
          <w:rFonts w:ascii="Times New Roman" w:eastAsia="Times New Roman" w:hAnsi="Times New Roman" w:cs="Times New Roman"/>
          <w:u w:val="single"/>
          <w:lang w:eastAsia="pl-PL"/>
        </w:rPr>
        <w:t>Ponadto pracownicy Biblioteki wzięli udział w:</w:t>
      </w: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regionalnym spotkaniu konsultacyjnym w Krakowie, w ramach projektu „O  finansach…w  bibliotece” (10.02)</w:t>
      </w: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pracy w jury XXII Wielkanocnego Konkursu Plastycznego. Organizowanego przez MOK (15.03)</w:t>
      </w: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konferencji dyrektorów bibliotek publicznych woj. śląskiego organizowanej przez Bibliotekę Śląską (28.04)</w:t>
      </w: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ml:space="preserve">- konkursie pięknego czytania, zorganizowanego w klasie Ie SP przez wychowawcę, Panią Iwonę Redel (06.06) </w:t>
      </w: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obchodach 70-lecia Miejskiej i Powiatowej Biblioteki Publicznej w Będzinie (28.10)</w:t>
      </w: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XII Powiatowe Forum Bibliotek Powiatu Będzińskiego  (24.11)</w:t>
      </w:r>
    </w:p>
    <w:p w:rsidR="004A34E1" w:rsidRPr="004A34E1" w:rsidRDefault="004A34E1" w:rsidP="004A34E1">
      <w:pPr>
        <w:spacing w:after="0" w:line="312" w:lineRule="auto"/>
        <w:ind w:left="708"/>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Katowickich Prezentacjach Bibliotecznych (25.11)</w:t>
      </w:r>
    </w:p>
    <w:p w:rsidR="004A34E1" w:rsidRPr="004A34E1" w:rsidRDefault="004A34E1" w:rsidP="004A34E1">
      <w:pPr>
        <w:spacing w:after="0" w:line="312" w:lineRule="auto"/>
        <w:jc w:val="both"/>
        <w:rPr>
          <w:rFonts w:ascii="Times New Roman" w:eastAsia="Times New Roman" w:hAnsi="Times New Roman" w:cs="Times New Roman"/>
          <w:lang w:eastAsia="pl-PL"/>
        </w:rPr>
      </w:pPr>
    </w:p>
    <w:p w:rsidR="004A34E1" w:rsidRPr="00E21ADA" w:rsidRDefault="00223AC2" w:rsidP="004A34E1">
      <w:pPr>
        <w:spacing w:after="0" w:line="312"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6</w:t>
      </w:r>
      <w:r w:rsidR="00E21ADA">
        <w:rPr>
          <w:rFonts w:ascii="Times New Roman" w:eastAsia="Times New Roman" w:hAnsi="Times New Roman" w:cs="Times New Roman"/>
          <w:b/>
          <w:lang w:eastAsia="pl-PL"/>
        </w:rPr>
        <w:t>.</w:t>
      </w:r>
      <w:r w:rsidR="00E21ADA">
        <w:rPr>
          <w:rFonts w:ascii="Times New Roman" w:eastAsia="Times New Roman" w:hAnsi="Times New Roman" w:cs="Times New Roman"/>
          <w:b/>
          <w:lang w:eastAsia="pl-PL"/>
        </w:rPr>
        <w:tab/>
        <w:t xml:space="preserve">Dodatkowe środki finansowe pozyskane przez Bibliotekę </w:t>
      </w:r>
      <w:r w:rsidR="004A34E1" w:rsidRPr="004A34E1">
        <w:rPr>
          <w:rFonts w:ascii="Times New Roman" w:eastAsia="Times New Roman" w:hAnsi="Times New Roman" w:cs="Times New Roman"/>
          <w:b/>
          <w:lang w:eastAsia="pl-PL"/>
        </w:rPr>
        <w:t>.</w:t>
      </w:r>
    </w:p>
    <w:p w:rsidR="004A34E1" w:rsidRPr="004A34E1" w:rsidRDefault="00E21ADA" w:rsidP="004A34E1">
      <w:pPr>
        <w:spacing w:after="0" w:line="312" w:lineRule="auto"/>
        <w:jc w:val="both"/>
        <w:outlineLvl w:val="0"/>
        <w:rPr>
          <w:rFonts w:ascii="Times New Roman" w:eastAsia="Times New Roman" w:hAnsi="Times New Roman" w:cs="Times New Roman"/>
          <w:lang w:eastAsia="pl-PL"/>
        </w:rPr>
      </w:pPr>
      <w:r>
        <w:rPr>
          <w:rFonts w:ascii="Times New Roman" w:eastAsia="Times New Roman" w:hAnsi="Times New Roman" w:cs="Times New Roman"/>
          <w:lang w:eastAsia="pl-PL"/>
        </w:rPr>
        <w:t>6.1</w:t>
      </w:r>
      <w:r w:rsidR="004A34E1" w:rsidRPr="004A34E1">
        <w:rPr>
          <w:rFonts w:ascii="Times New Roman" w:eastAsia="Times New Roman" w:hAnsi="Times New Roman" w:cs="Times New Roman"/>
          <w:lang w:eastAsia="pl-PL"/>
        </w:rPr>
        <w:t>.</w:t>
      </w:r>
      <w:r w:rsidR="004A34E1" w:rsidRPr="004A34E1">
        <w:rPr>
          <w:rFonts w:ascii="Times New Roman" w:eastAsia="Times New Roman" w:hAnsi="Times New Roman" w:cs="Times New Roman"/>
          <w:lang w:eastAsia="pl-PL"/>
        </w:rPr>
        <w:tab/>
        <w:t>Dochody własne, ogółem 3.480,30 zł</w:t>
      </w:r>
    </w:p>
    <w:p w:rsidR="004A34E1" w:rsidRPr="004A34E1" w:rsidRDefault="00E21ADA" w:rsidP="004A34E1">
      <w:pPr>
        <w:spacing w:after="0" w:line="312" w:lineRule="auto"/>
        <w:ind w:left="705" w:hanging="705"/>
        <w:jc w:val="both"/>
        <w:rPr>
          <w:rFonts w:ascii="Times New Roman" w:eastAsia="Times New Roman" w:hAnsi="Times New Roman" w:cs="Times New Roman"/>
          <w:lang w:eastAsia="pl-PL"/>
        </w:rPr>
      </w:pPr>
      <w:r>
        <w:rPr>
          <w:rFonts w:ascii="Times New Roman" w:eastAsia="Times New Roman" w:hAnsi="Times New Roman" w:cs="Times New Roman"/>
          <w:lang w:eastAsia="pl-PL"/>
        </w:rPr>
        <w:t>6.2</w:t>
      </w:r>
      <w:r w:rsidR="004A34E1" w:rsidRPr="004A34E1">
        <w:rPr>
          <w:rFonts w:ascii="Times New Roman" w:eastAsia="Times New Roman" w:hAnsi="Times New Roman" w:cs="Times New Roman"/>
          <w:lang w:eastAsia="pl-PL"/>
        </w:rPr>
        <w:t>.</w:t>
      </w:r>
      <w:r w:rsidR="004A34E1" w:rsidRPr="004A34E1">
        <w:rPr>
          <w:rFonts w:ascii="Times New Roman" w:eastAsia="Times New Roman" w:hAnsi="Times New Roman" w:cs="Times New Roman"/>
          <w:lang w:eastAsia="pl-PL"/>
        </w:rPr>
        <w:tab/>
        <w:t>Darowizny rzeczowe, ogółem 5.027,90 zł, w tym:</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drukarka HP LJ – 2.385,69 zł</w:t>
      </w:r>
    </w:p>
    <w:p w:rsidR="004A34E1" w:rsidRPr="004A34E1" w:rsidRDefault="004A34E1" w:rsidP="004A34E1">
      <w:pPr>
        <w:spacing w:after="0" w:line="312" w:lineRule="auto"/>
        <w:ind w:firstLine="705"/>
        <w:jc w:val="both"/>
        <w:outlineLvl w:val="0"/>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czytnik Amazon Kindle Papewhite 3 – 669,00 zł</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książki – 1.875,00 zł</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 gry planszowe: Eurobiznes, Koncept – 98,21 szt.</w:t>
      </w:r>
    </w:p>
    <w:p w:rsidR="004A34E1" w:rsidRPr="004A34E1" w:rsidRDefault="00E21ADA" w:rsidP="004A34E1">
      <w:p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6.3</w:t>
      </w:r>
      <w:r w:rsidR="004A34E1" w:rsidRPr="004A34E1">
        <w:rPr>
          <w:rFonts w:ascii="Times New Roman" w:eastAsia="Times New Roman" w:hAnsi="Times New Roman" w:cs="Times New Roman"/>
          <w:lang w:eastAsia="pl-PL"/>
        </w:rPr>
        <w:t>.</w:t>
      </w:r>
      <w:r w:rsidR="004A34E1" w:rsidRPr="004A34E1">
        <w:rPr>
          <w:rFonts w:ascii="Times New Roman" w:eastAsia="Times New Roman" w:hAnsi="Times New Roman" w:cs="Times New Roman"/>
          <w:lang w:eastAsia="pl-PL"/>
        </w:rPr>
        <w:tab/>
        <w:t>Inne środki finansowe pozyskane przez Bibliotekę ogółem  6.850,00 zł, w tym:</w:t>
      </w:r>
    </w:p>
    <w:p w:rsidR="004A34E1" w:rsidRPr="004A34E1" w:rsidRDefault="00E21ADA" w:rsidP="004A34E1">
      <w:pPr>
        <w:spacing w:after="0" w:line="312" w:lineRule="auto"/>
        <w:ind w:left="705" w:hanging="705"/>
        <w:jc w:val="both"/>
        <w:outlineLvl w:val="0"/>
        <w:rPr>
          <w:rFonts w:ascii="Times New Roman" w:eastAsia="Times New Roman" w:hAnsi="Times New Roman" w:cs="Times New Roman"/>
          <w:lang w:eastAsia="pl-PL"/>
        </w:rPr>
      </w:pPr>
      <w:r>
        <w:rPr>
          <w:rFonts w:ascii="Times New Roman" w:eastAsia="Times New Roman" w:hAnsi="Times New Roman" w:cs="Times New Roman"/>
          <w:lang w:eastAsia="pl-PL"/>
        </w:rPr>
        <w:t>6.3</w:t>
      </w:r>
      <w:r w:rsidR="004A34E1" w:rsidRPr="004A34E1">
        <w:rPr>
          <w:rFonts w:ascii="Times New Roman" w:eastAsia="Times New Roman" w:hAnsi="Times New Roman" w:cs="Times New Roman"/>
          <w:lang w:eastAsia="pl-PL"/>
        </w:rPr>
        <w:t>.1.</w:t>
      </w:r>
      <w:r w:rsidR="004A34E1" w:rsidRPr="004A34E1">
        <w:rPr>
          <w:rFonts w:ascii="Times New Roman" w:eastAsia="Times New Roman" w:hAnsi="Times New Roman" w:cs="Times New Roman"/>
          <w:lang w:eastAsia="pl-PL"/>
        </w:rPr>
        <w:tab/>
      </w:r>
      <w:r w:rsidR="004A34E1" w:rsidRPr="004A34E1">
        <w:rPr>
          <w:rFonts w:ascii="Times New Roman" w:eastAsia="Times New Roman" w:hAnsi="Times New Roman" w:cs="Times New Roman"/>
          <w:u w:val="single"/>
          <w:lang w:eastAsia="pl-PL"/>
        </w:rPr>
        <w:t>Z Ministerstwa Kultury i Dziedzictwa Narodowego</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wysokość środków 6.200,00 zł</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tytuł programu: „Zakup nowości wydawniczych dla bibliotek publicznych” Priorytet 1</w:t>
      </w:r>
    </w:p>
    <w:p w:rsidR="004A34E1" w:rsidRPr="004A34E1" w:rsidRDefault="00E21ADA" w:rsidP="004A34E1">
      <w:pPr>
        <w:spacing w:after="0" w:line="312" w:lineRule="auto"/>
        <w:ind w:left="705" w:hanging="705"/>
        <w:jc w:val="both"/>
        <w:rPr>
          <w:rFonts w:ascii="Times New Roman" w:eastAsia="Times New Roman" w:hAnsi="Times New Roman" w:cs="Times New Roman"/>
          <w:lang w:eastAsia="pl-PL"/>
        </w:rPr>
      </w:pPr>
      <w:r>
        <w:rPr>
          <w:rFonts w:ascii="Times New Roman" w:eastAsia="Times New Roman" w:hAnsi="Times New Roman" w:cs="Times New Roman"/>
          <w:lang w:eastAsia="pl-PL"/>
        </w:rPr>
        <w:t>6.3</w:t>
      </w:r>
      <w:r w:rsidR="004A34E1" w:rsidRPr="004A34E1">
        <w:rPr>
          <w:rFonts w:ascii="Times New Roman" w:eastAsia="Times New Roman" w:hAnsi="Times New Roman" w:cs="Times New Roman"/>
          <w:lang w:eastAsia="pl-PL"/>
        </w:rPr>
        <w:t>.2</w:t>
      </w:r>
      <w:r w:rsidR="004A34E1" w:rsidRPr="004A34E1">
        <w:rPr>
          <w:rFonts w:ascii="Times New Roman" w:eastAsia="Times New Roman" w:hAnsi="Times New Roman" w:cs="Times New Roman"/>
          <w:lang w:eastAsia="pl-PL"/>
        </w:rPr>
        <w:tab/>
      </w:r>
      <w:r w:rsidR="004A34E1" w:rsidRPr="004A34E1">
        <w:rPr>
          <w:rFonts w:ascii="Times New Roman" w:eastAsia="Times New Roman" w:hAnsi="Times New Roman" w:cs="Times New Roman"/>
          <w:u w:val="single"/>
          <w:lang w:eastAsia="pl-PL"/>
        </w:rPr>
        <w:t>Z Fundacji Rozwoju Społeczeństwa Informacyjnego</w:t>
      </w:r>
      <w:r w:rsidR="004A34E1" w:rsidRPr="004A34E1">
        <w:rPr>
          <w:rFonts w:ascii="Times New Roman" w:eastAsia="Times New Roman" w:hAnsi="Times New Roman" w:cs="Times New Roman"/>
          <w:lang w:eastAsia="pl-PL"/>
        </w:rPr>
        <w:t>:</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wysokość środków: 650,00 zł</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color w:val="4472C4" w:themeColor="accent5"/>
          <w:lang w:eastAsia="pl-PL"/>
        </w:rPr>
        <w:tab/>
      </w:r>
      <w:r w:rsidRPr="004A34E1">
        <w:rPr>
          <w:rFonts w:ascii="Times New Roman" w:eastAsia="Times New Roman" w:hAnsi="Times New Roman" w:cs="Times New Roman"/>
          <w:lang w:eastAsia="pl-PL"/>
        </w:rPr>
        <w:t>- tytuł programu: „O finansach…w bibliotece – 4 edycja”</w:t>
      </w:r>
    </w:p>
    <w:p w:rsidR="004A34E1" w:rsidRPr="004A34E1" w:rsidRDefault="00E21ADA" w:rsidP="004A34E1">
      <w:pPr>
        <w:spacing w:after="0" w:line="312" w:lineRule="auto"/>
        <w:ind w:left="705" w:hanging="705"/>
        <w:jc w:val="both"/>
        <w:rPr>
          <w:rFonts w:ascii="Times New Roman" w:eastAsia="Times New Roman" w:hAnsi="Times New Roman" w:cs="Times New Roman"/>
          <w:lang w:eastAsia="pl-PL"/>
        </w:rPr>
      </w:pPr>
      <w:r>
        <w:rPr>
          <w:rFonts w:ascii="Times New Roman" w:eastAsia="Times New Roman" w:hAnsi="Times New Roman" w:cs="Times New Roman"/>
          <w:lang w:eastAsia="pl-PL"/>
        </w:rPr>
        <w:t>6.3</w:t>
      </w:r>
      <w:r w:rsidR="004A34E1" w:rsidRPr="004A34E1">
        <w:rPr>
          <w:rFonts w:ascii="Times New Roman" w:eastAsia="Times New Roman" w:hAnsi="Times New Roman" w:cs="Times New Roman"/>
          <w:lang w:eastAsia="pl-PL"/>
        </w:rPr>
        <w:t>.3.</w:t>
      </w:r>
      <w:r w:rsidR="004A34E1" w:rsidRPr="004A34E1">
        <w:rPr>
          <w:rFonts w:ascii="Times New Roman" w:eastAsia="Times New Roman" w:hAnsi="Times New Roman" w:cs="Times New Roman"/>
          <w:lang w:eastAsia="pl-PL"/>
        </w:rPr>
        <w:tab/>
        <w:t xml:space="preserve">Z innych źródeł: </w:t>
      </w:r>
    </w:p>
    <w:p w:rsidR="004A34E1" w:rsidRPr="004A34E1" w:rsidRDefault="004A34E1" w:rsidP="004A34E1">
      <w:pPr>
        <w:spacing w:after="0" w:line="312" w:lineRule="auto"/>
        <w:ind w:left="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Z Instytutu Książki</w:t>
      </w:r>
      <w:r w:rsidRPr="004A34E1">
        <w:rPr>
          <w:rFonts w:ascii="Times New Roman" w:eastAsia="Times New Roman" w:hAnsi="Times New Roman" w:cs="Times New Roman"/>
          <w:lang w:eastAsia="pl-PL"/>
        </w:rPr>
        <w:t>:</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wysokość środków: 800,00 zł</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tytuł programu: „Dyskusyjne Kluby Książki”</w:t>
      </w:r>
    </w:p>
    <w:p w:rsidR="004A34E1" w:rsidRPr="004A34E1" w:rsidRDefault="004A34E1" w:rsidP="004A34E1">
      <w:pPr>
        <w:spacing w:after="0" w:line="312" w:lineRule="auto"/>
        <w:ind w:firstLine="705"/>
        <w:jc w:val="both"/>
        <w:rPr>
          <w:rFonts w:ascii="Times New Roman" w:eastAsia="Times New Roman" w:hAnsi="Times New Roman" w:cs="Times New Roman"/>
          <w:lang w:eastAsia="pl-PL"/>
        </w:rPr>
      </w:pPr>
      <w:r w:rsidRPr="004A34E1">
        <w:rPr>
          <w:rFonts w:ascii="Times New Roman" w:eastAsia="Times New Roman" w:hAnsi="Times New Roman" w:cs="Times New Roman"/>
          <w:u w:val="single"/>
          <w:lang w:eastAsia="pl-PL"/>
        </w:rPr>
        <w:t>Od sponsorów prywatnych</w:t>
      </w:r>
      <w:r w:rsidRPr="004A34E1">
        <w:rPr>
          <w:rFonts w:ascii="Times New Roman" w:eastAsia="Times New Roman" w:hAnsi="Times New Roman" w:cs="Times New Roman"/>
          <w:lang w:eastAsia="pl-PL"/>
        </w:rPr>
        <w:t>:</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wysokość środków 400,00 zł</w:t>
      </w:r>
    </w:p>
    <w:p w:rsidR="004A34E1" w:rsidRPr="004A34E1" w:rsidRDefault="004A34E1" w:rsidP="004A34E1">
      <w:pPr>
        <w:spacing w:after="0" w:line="312" w:lineRule="auto"/>
        <w:ind w:left="705" w:hanging="705"/>
        <w:jc w:val="both"/>
        <w:rPr>
          <w:rFonts w:ascii="Times New Roman" w:eastAsia="Times New Roman" w:hAnsi="Times New Roman" w:cs="Times New Roman"/>
          <w:lang w:eastAsia="pl-PL"/>
        </w:rPr>
      </w:pPr>
      <w:r w:rsidRPr="004A34E1">
        <w:rPr>
          <w:rFonts w:ascii="Times New Roman" w:eastAsia="Times New Roman" w:hAnsi="Times New Roman" w:cs="Times New Roman"/>
          <w:lang w:eastAsia="pl-PL"/>
        </w:rPr>
        <w:tab/>
        <w:t>- organizacja „Nocy z Andersenem”.</w:t>
      </w:r>
    </w:p>
    <w:p w:rsidR="00423272" w:rsidRDefault="009838DE">
      <w:pPr>
        <w:rPr>
          <w:rFonts w:ascii="Times New Roman" w:hAnsi="Times New Roman" w:cs="Times New Roman"/>
        </w:rPr>
      </w:pPr>
      <w:r w:rsidRPr="0077187F">
        <w:rPr>
          <w:rFonts w:ascii="Times New Roman" w:hAnsi="Times New Roman" w:cs="Times New Roman"/>
        </w:rPr>
        <w:t xml:space="preserve">  </w:t>
      </w:r>
      <w:bookmarkStart w:id="0" w:name="_GoBack"/>
      <w:bookmarkEnd w:id="0"/>
    </w:p>
    <w:p w:rsidR="0077187F" w:rsidRPr="00E21ADA" w:rsidRDefault="0077187F">
      <w:pPr>
        <w:rPr>
          <w:rFonts w:ascii="Times New Roman" w:hAnsi="Times New Roman" w:cs="Times New Roman"/>
          <w:i/>
        </w:rPr>
      </w:pPr>
      <w:r w:rsidRPr="0077187F">
        <w:rPr>
          <w:rFonts w:ascii="Times New Roman" w:hAnsi="Times New Roman" w:cs="Times New Roman"/>
        </w:rPr>
        <w:t xml:space="preserve">Sporządziła: </w:t>
      </w:r>
      <w:r w:rsidRPr="00E21ADA">
        <w:rPr>
          <w:rFonts w:ascii="Times New Roman" w:hAnsi="Times New Roman" w:cs="Times New Roman"/>
          <w:i/>
        </w:rPr>
        <w:t>Agnieszka Wąs – Dyrektor MBP w Sławkowie</w:t>
      </w:r>
    </w:p>
    <w:sectPr w:rsidR="0077187F" w:rsidRPr="00E21A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136" w:rsidRDefault="00E93136">
      <w:pPr>
        <w:spacing w:after="0" w:line="240" w:lineRule="auto"/>
      </w:pPr>
      <w:r>
        <w:separator/>
      </w:r>
    </w:p>
  </w:endnote>
  <w:endnote w:type="continuationSeparator" w:id="0">
    <w:p w:rsidR="00E93136" w:rsidRDefault="00E9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453766"/>
      <w:docPartObj>
        <w:docPartGallery w:val="Page Numbers (Bottom of Page)"/>
        <w:docPartUnique/>
      </w:docPartObj>
    </w:sdtPr>
    <w:sdtEndPr/>
    <w:sdtContent>
      <w:p w:rsidR="0067144B" w:rsidRDefault="009838DE">
        <w:pPr>
          <w:pStyle w:val="Stopka"/>
          <w:jc w:val="center"/>
        </w:pPr>
        <w:r>
          <w:fldChar w:fldCharType="begin"/>
        </w:r>
        <w:r>
          <w:instrText>PAGE   \* MERGEFORMAT</w:instrText>
        </w:r>
        <w:r>
          <w:fldChar w:fldCharType="separate"/>
        </w:r>
        <w:r w:rsidR="00EE2904">
          <w:rPr>
            <w:noProof/>
          </w:rPr>
          <w:t>9</w:t>
        </w:r>
        <w:r>
          <w:fldChar w:fldCharType="end"/>
        </w:r>
      </w:p>
    </w:sdtContent>
  </w:sdt>
  <w:p w:rsidR="0067144B" w:rsidRDefault="00E931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136" w:rsidRDefault="00E93136">
      <w:pPr>
        <w:spacing w:after="0" w:line="240" w:lineRule="auto"/>
      </w:pPr>
      <w:r>
        <w:separator/>
      </w:r>
    </w:p>
  </w:footnote>
  <w:footnote w:type="continuationSeparator" w:id="0">
    <w:p w:rsidR="00E93136" w:rsidRDefault="00E93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55CFD"/>
    <w:multiLevelType w:val="hybridMultilevel"/>
    <w:tmpl w:val="FA2619D0"/>
    <w:lvl w:ilvl="0" w:tplc="C038E04A">
      <w:start w:val="3"/>
      <w:numFmt w:val="decimal"/>
      <w:lvlText w:val="%1."/>
      <w:lvlJc w:val="left"/>
      <w:pPr>
        <w:tabs>
          <w:tab w:val="num" w:pos="375"/>
        </w:tabs>
        <w:ind w:left="37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5EF243DD"/>
    <w:multiLevelType w:val="multilevel"/>
    <w:tmpl w:val="806A0A5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E1"/>
    <w:rsid w:val="001658E1"/>
    <w:rsid w:val="00223969"/>
    <w:rsid w:val="00223AC2"/>
    <w:rsid w:val="00423272"/>
    <w:rsid w:val="00437335"/>
    <w:rsid w:val="0045203B"/>
    <w:rsid w:val="004A34E1"/>
    <w:rsid w:val="00513C43"/>
    <w:rsid w:val="0077187F"/>
    <w:rsid w:val="007E0141"/>
    <w:rsid w:val="009838DE"/>
    <w:rsid w:val="009A35DA"/>
    <w:rsid w:val="00B7086B"/>
    <w:rsid w:val="00BF6973"/>
    <w:rsid w:val="00C330B0"/>
    <w:rsid w:val="00D82795"/>
    <w:rsid w:val="00E21ADA"/>
    <w:rsid w:val="00E93136"/>
    <w:rsid w:val="00EE2904"/>
    <w:rsid w:val="00F57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578CD-9B3C-443F-9CF8-801D4145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A34E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A34E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A34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827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2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a:t>Struktura</a:t>
            </a:r>
            <a:r>
              <a:rPr lang="pl-PL" baseline="0"/>
              <a:t> księgozbioru</a:t>
            </a:r>
            <a:endParaRPr lang="en-US"/>
          </a:p>
        </c:rich>
      </c:tx>
      <c:overlay val="0"/>
    </c:title>
    <c:autoTitleDeleted val="0"/>
    <c:plotArea>
      <c:layout>
        <c:manualLayout>
          <c:layoutTarget val="inner"/>
          <c:xMode val="edge"/>
          <c:yMode val="edge"/>
          <c:x val="0.28464419475655428"/>
          <c:y val="0.2768361581920904"/>
          <c:w val="0.1966292134831461"/>
          <c:h val="0.59322033898305082"/>
        </c:manualLayout>
      </c:layout>
      <c:pieChart>
        <c:varyColors val="1"/>
        <c:ser>
          <c:idx val="1"/>
          <c:order val="0"/>
          <c:tx>
            <c:strRef>
              <c:f>Sheet1!$A$3</c:f>
              <c:strCache>
                <c:ptCount val="1"/>
                <c:pt idx="0">
                  <c:v>Zach.</c:v>
                </c:pt>
              </c:strCache>
            </c:strRef>
          </c:tx>
          <c:spPr>
            <a:solidFill>
              <a:srgbClr val="993366"/>
            </a:solidFill>
            <a:ln w="13422">
              <a:solidFill>
                <a:srgbClr val="000000"/>
              </a:solidFill>
              <a:prstDash val="solid"/>
            </a:ln>
          </c:spPr>
          <c:dPt>
            <c:idx val="0"/>
            <c:bubble3D val="0"/>
            <c:spPr>
              <a:solidFill>
                <a:schemeClr val="bg1"/>
              </a:solidFill>
              <a:ln w="13422">
                <a:solidFill>
                  <a:srgbClr val="000000"/>
                </a:solidFill>
                <a:prstDash val="solid"/>
              </a:ln>
            </c:spPr>
          </c:dPt>
          <c:dPt>
            <c:idx val="1"/>
            <c:bubble3D val="0"/>
            <c:spPr>
              <a:solidFill>
                <a:schemeClr val="bg1">
                  <a:lumMod val="65000"/>
                </a:schemeClr>
              </a:solidFill>
              <a:ln w="13422">
                <a:solidFill>
                  <a:srgbClr val="000000"/>
                </a:solidFill>
                <a:prstDash val="solid"/>
              </a:ln>
            </c:spPr>
          </c:dPt>
          <c:dPt>
            <c:idx val="2"/>
            <c:bubble3D val="0"/>
            <c:spPr>
              <a:solidFill>
                <a:schemeClr val="tx1">
                  <a:lumMod val="65000"/>
                  <a:lumOff val="35000"/>
                </a:schemeClr>
              </a:solidFill>
              <a:ln w="13422">
                <a:solidFill>
                  <a:srgbClr val="000000"/>
                </a:solidFill>
                <a:prstDash val="solid"/>
              </a:ln>
            </c:spPr>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Sheet1!$B$1:$D$1</c:f>
              <c:strCache>
                <c:ptCount val="3"/>
                <c:pt idx="0">
                  <c:v>Literatura piękna dla dzieci i młodzieży</c:v>
                </c:pt>
                <c:pt idx="1">
                  <c:v>Literatura piękna dla dorosłych</c:v>
                </c:pt>
                <c:pt idx="2">
                  <c:v>Literatura popularnonaukowa </c:v>
                </c:pt>
              </c:strCache>
            </c:strRef>
          </c:cat>
          <c:val>
            <c:numRef>
              <c:f>Sheet1!$B$3:$D$3</c:f>
              <c:numCache>
                <c:formatCode>General</c:formatCode>
                <c:ptCount val="3"/>
                <c:pt idx="0">
                  <c:v>24</c:v>
                </c:pt>
                <c:pt idx="1">
                  <c:v>50</c:v>
                </c:pt>
                <c:pt idx="2">
                  <c:v>26</c:v>
                </c:pt>
              </c:numCache>
            </c:numRef>
          </c:val>
        </c:ser>
        <c:ser>
          <c:idx val="2"/>
          <c:order val="1"/>
          <c:tx>
            <c:strRef>
              <c:f>Sheet1!$A$4</c:f>
              <c:strCache>
                <c:ptCount val="1"/>
                <c:pt idx="0">
                  <c:v>Płn.</c:v>
                </c:pt>
              </c:strCache>
            </c:strRef>
          </c:tx>
          <c:spPr>
            <a:solidFill>
              <a:srgbClr val="FFFFCC"/>
            </a:solidFill>
            <a:ln w="13422">
              <a:solidFill>
                <a:srgbClr val="000000"/>
              </a:solidFill>
              <a:prstDash val="solid"/>
            </a:ln>
          </c:spPr>
          <c:dPt>
            <c:idx val="0"/>
            <c:bubble3D val="0"/>
            <c:spPr>
              <a:solidFill>
                <a:srgbClr val="9999FF"/>
              </a:solidFill>
              <a:ln w="13422">
                <a:solidFill>
                  <a:srgbClr val="000000"/>
                </a:solidFill>
                <a:prstDash val="solid"/>
              </a:ln>
            </c:spPr>
          </c:dPt>
          <c:dPt>
            <c:idx val="1"/>
            <c:bubble3D val="0"/>
            <c:spPr>
              <a:solidFill>
                <a:srgbClr val="993366"/>
              </a:solidFill>
              <a:ln w="13422">
                <a:solidFill>
                  <a:srgbClr val="000000"/>
                </a:solidFill>
                <a:prstDash val="solid"/>
              </a:ln>
            </c:spPr>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Sheet1!$B$1:$D$1</c:f>
              <c:strCache>
                <c:ptCount val="3"/>
                <c:pt idx="0">
                  <c:v>Literatura piękna dla dzieci i młodzieży</c:v>
                </c:pt>
                <c:pt idx="1">
                  <c:v>Literatura piękna dla dorosłych</c:v>
                </c:pt>
                <c:pt idx="2">
                  <c:v>Literatura popularnonaukowa </c:v>
                </c:pt>
              </c:strCache>
            </c:strRef>
          </c:cat>
          <c:val>
            <c:numRef>
              <c:f>Sheet1!$B$4:$D$4</c:f>
              <c:numCache>
                <c:formatCode>General</c:formatCode>
                <c:ptCount val="3"/>
                <c:pt idx="0">
                  <c:v>24</c:v>
                </c:pt>
                <c:pt idx="1">
                  <c:v>50</c:v>
                </c:pt>
                <c:pt idx="2">
                  <c:v>26</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overlay val="0"/>
      <c:txPr>
        <a:bodyPr/>
        <a:lstStyle/>
        <a:p>
          <a:pPr>
            <a:defRPr baseline="0">
              <a:latin typeface="Times New Roman" panose="02020603050405020304" pitchFamily="18" charset="0"/>
            </a:defRPr>
          </a:pPr>
          <a:endParaRPr lang="pl-PL"/>
        </a:p>
      </c:txPr>
    </c:legend>
    <c:plotVisOnly val="1"/>
    <c:dispBlanksAs val="zero"/>
    <c:showDLblsOverMax val="0"/>
  </c:chart>
  <c:spPr>
    <a:noFill/>
    <a:ln>
      <a:noFill/>
    </a:ln>
  </c:spPr>
  <c:txPr>
    <a:bodyPr/>
    <a:lstStyle/>
    <a:p>
      <a:pPr>
        <a:defRPr sz="846" b="1" i="0" u="none" strike="noStrike" baseline="0">
          <a:solidFill>
            <a:srgbClr val="000000"/>
          </a:solidFill>
          <a:latin typeface="Arial"/>
          <a:ea typeface="Arial"/>
          <a:cs typeface="Arial"/>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a:t>Wypożyczenia księgozbioru w 2016 roku</a:t>
            </a:r>
          </a:p>
        </c:rich>
      </c:tx>
      <c:layout>
        <c:manualLayout>
          <c:xMode val="edge"/>
          <c:yMode val="edge"/>
          <c:x val="0.27659574468085107"/>
          <c:y val="1.8518518518518521E-2"/>
        </c:manualLayout>
      </c:layout>
      <c:overlay val="0"/>
      <c:spPr>
        <a:noFill/>
        <a:ln w="26840">
          <a:noFill/>
        </a:ln>
      </c:spPr>
    </c:title>
    <c:autoTitleDeleted val="0"/>
    <c:plotArea>
      <c:layout>
        <c:manualLayout>
          <c:layoutTarget val="inner"/>
          <c:xMode val="edge"/>
          <c:yMode val="edge"/>
          <c:x val="0.24893617021276598"/>
          <c:y val="0.25308641975308649"/>
          <c:w val="0.21702127659574472"/>
          <c:h val="0.62962962962962976"/>
        </c:manualLayout>
      </c:layout>
      <c:pieChart>
        <c:varyColors val="1"/>
        <c:ser>
          <c:idx val="0"/>
          <c:order val="0"/>
          <c:tx>
            <c:strRef>
              <c:f>Sheet1!$A$2</c:f>
              <c:strCache>
                <c:ptCount val="1"/>
                <c:pt idx="0">
                  <c:v>2+A2</c:v>
                </c:pt>
              </c:strCache>
            </c:strRef>
          </c:tx>
          <c:spPr>
            <a:solidFill>
              <a:srgbClr val="9999FF"/>
            </a:solidFill>
            <a:ln w="13420">
              <a:solidFill>
                <a:srgbClr val="000000"/>
              </a:solidFill>
              <a:prstDash val="solid"/>
            </a:ln>
          </c:spPr>
          <c:dPt>
            <c:idx val="0"/>
            <c:bubble3D val="0"/>
            <c:spPr>
              <a:solidFill>
                <a:schemeClr val="bg1">
                  <a:lumMod val="65000"/>
                </a:schemeClr>
              </a:solidFill>
              <a:ln w="13420">
                <a:solidFill>
                  <a:srgbClr val="000000"/>
                </a:solidFill>
                <a:prstDash val="solid"/>
              </a:ln>
            </c:spPr>
          </c:dPt>
          <c:dPt>
            <c:idx val="1"/>
            <c:bubble3D val="0"/>
            <c:spPr>
              <a:solidFill>
                <a:schemeClr val="bg1"/>
              </a:solidFill>
              <a:ln w="13420">
                <a:solidFill>
                  <a:srgbClr val="000000"/>
                </a:solidFill>
                <a:prstDash val="solid"/>
              </a:ln>
            </c:spPr>
          </c:dPt>
          <c:dPt>
            <c:idx val="2"/>
            <c:bubble3D val="0"/>
            <c:spPr>
              <a:solidFill>
                <a:schemeClr val="tx1">
                  <a:lumMod val="65000"/>
                  <a:lumOff val="35000"/>
                </a:schemeClr>
              </a:solidFill>
              <a:ln w="13420">
                <a:solidFill>
                  <a:srgbClr val="000000"/>
                </a:solidFill>
                <a:prstDash val="solid"/>
              </a:ln>
            </c:spPr>
          </c:dPt>
          <c:dLbls>
            <c:dLbl>
              <c:idx val="0"/>
              <c:layout>
                <c:manualLayout>
                  <c:x val="-7.4195126194021063E-2"/>
                  <c:y val="-8.1619879036859522E-2"/>
                </c:manualLayout>
              </c:layout>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Sheet1!$B$1:$D$1</c:f>
              <c:strCache>
                <c:ptCount val="3"/>
                <c:pt idx="0">
                  <c:v>Literatura piękna dla dorosłych </c:v>
                </c:pt>
                <c:pt idx="1">
                  <c:v>Literatura piękna dla dzieci i młodzieży </c:v>
                </c:pt>
                <c:pt idx="2">
                  <c:v>Literatura popularnonaukowa </c:v>
                </c:pt>
              </c:strCache>
            </c:strRef>
          </c:cat>
          <c:val>
            <c:numRef>
              <c:f>Sheet1!$B$2:$D$2</c:f>
              <c:numCache>
                <c:formatCode>General</c:formatCode>
                <c:ptCount val="3"/>
                <c:pt idx="0">
                  <c:v>63</c:v>
                </c:pt>
                <c:pt idx="1">
                  <c:v>24</c:v>
                </c:pt>
                <c:pt idx="2">
                  <c:v>13</c:v>
                </c:pt>
              </c:numCache>
            </c:numRef>
          </c:val>
        </c:ser>
        <c:ser>
          <c:idx val="1"/>
          <c:order val="1"/>
          <c:tx>
            <c:strRef>
              <c:f>Sheet1!$A$3</c:f>
              <c:strCache>
                <c:ptCount val="1"/>
                <c:pt idx="0">
                  <c:v>Zach.</c:v>
                </c:pt>
              </c:strCache>
            </c:strRef>
          </c:tx>
          <c:spPr>
            <a:solidFill>
              <a:srgbClr val="993366"/>
            </a:solidFill>
            <a:ln w="13420">
              <a:solidFill>
                <a:srgbClr val="000000"/>
              </a:solidFill>
              <a:prstDash val="solid"/>
            </a:ln>
          </c:spPr>
          <c:dPt>
            <c:idx val="0"/>
            <c:bubble3D val="0"/>
            <c:spPr>
              <a:solidFill>
                <a:srgbClr val="9999FF"/>
              </a:solidFill>
              <a:ln w="13420">
                <a:solidFill>
                  <a:srgbClr val="000000"/>
                </a:solidFill>
                <a:prstDash val="solid"/>
              </a:ln>
            </c:spPr>
          </c:dPt>
          <c:dPt>
            <c:idx val="2"/>
            <c:bubble3D val="0"/>
            <c:spPr>
              <a:solidFill>
                <a:srgbClr val="FFFFCC"/>
              </a:solidFill>
              <a:ln w="13420">
                <a:solidFill>
                  <a:srgbClr val="000000"/>
                </a:solidFill>
                <a:prstDash val="solid"/>
              </a:ln>
            </c:spPr>
          </c:dPt>
          <c:cat>
            <c:strRef>
              <c:f>Sheet1!$B$1:$D$1</c:f>
              <c:strCache>
                <c:ptCount val="3"/>
                <c:pt idx="0">
                  <c:v>Literatura piękna dla dorosłych </c:v>
                </c:pt>
                <c:pt idx="1">
                  <c:v>Literatura piękna dla dzieci i młodzieży </c:v>
                </c:pt>
                <c:pt idx="2">
                  <c:v>Literatura popularnonaukowa </c:v>
                </c:pt>
              </c:strCache>
            </c:strRef>
          </c:cat>
          <c:val>
            <c:numRef>
              <c:f>Sheet1!$B$3:$D$3</c:f>
              <c:numCache>
                <c:formatCode>General</c:formatCode>
                <c:ptCount val="3"/>
                <c:pt idx="0">
                  <c:v>30.6</c:v>
                </c:pt>
                <c:pt idx="1">
                  <c:v>24</c:v>
                </c:pt>
                <c:pt idx="2">
                  <c:v>13</c:v>
                </c:pt>
              </c:numCache>
            </c:numRef>
          </c:val>
        </c:ser>
        <c:ser>
          <c:idx val="2"/>
          <c:order val="2"/>
          <c:tx>
            <c:strRef>
              <c:f>Sheet1!$A$4</c:f>
              <c:strCache>
                <c:ptCount val="1"/>
                <c:pt idx="0">
                  <c:v>Płn.</c:v>
                </c:pt>
              </c:strCache>
            </c:strRef>
          </c:tx>
          <c:spPr>
            <a:solidFill>
              <a:srgbClr val="FFFFCC"/>
            </a:solidFill>
            <a:ln w="13420">
              <a:solidFill>
                <a:srgbClr val="000000"/>
              </a:solidFill>
              <a:prstDash val="solid"/>
            </a:ln>
          </c:spPr>
          <c:dPt>
            <c:idx val="0"/>
            <c:bubble3D val="0"/>
            <c:spPr>
              <a:solidFill>
                <a:srgbClr val="9999FF"/>
              </a:solidFill>
              <a:ln w="13420">
                <a:solidFill>
                  <a:srgbClr val="000000"/>
                </a:solidFill>
                <a:prstDash val="solid"/>
              </a:ln>
            </c:spPr>
          </c:dPt>
          <c:dPt>
            <c:idx val="1"/>
            <c:bubble3D val="0"/>
            <c:spPr>
              <a:solidFill>
                <a:srgbClr val="993366"/>
              </a:solidFill>
              <a:ln w="13420">
                <a:solidFill>
                  <a:srgbClr val="000000"/>
                </a:solidFill>
                <a:prstDash val="solid"/>
              </a:ln>
            </c:spPr>
          </c:dPt>
          <c:cat>
            <c:strRef>
              <c:f>Sheet1!$B$1:$D$1</c:f>
              <c:strCache>
                <c:ptCount val="3"/>
                <c:pt idx="0">
                  <c:v>Literatura piękna dla dorosłych </c:v>
                </c:pt>
                <c:pt idx="1">
                  <c:v>Literatura piękna dla dzieci i młodzieży </c:v>
                </c:pt>
                <c:pt idx="2">
                  <c:v>Literatura popularnonaukowa </c:v>
                </c:pt>
              </c:strCache>
            </c:strRef>
          </c:cat>
          <c:val>
            <c:numRef>
              <c:f>Sheet1!$B$4:$D$4</c:f>
              <c:numCache>
                <c:formatCode>General</c:formatCode>
                <c:ptCount val="3"/>
                <c:pt idx="0">
                  <c:v>45.9</c:v>
                </c:pt>
                <c:pt idx="1">
                  <c:v>24</c:v>
                </c:pt>
                <c:pt idx="2">
                  <c:v>13</c:v>
                </c:pt>
              </c:numCache>
            </c:numRef>
          </c:val>
        </c:ser>
        <c:dLbls>
          <c:showLegendKey val="0"/>
          <c:showVal val="0"/>
          <c:showCatName val="0"/>
          <c:showSerName val="0"/>
          <c:showPercent val="0"/>
          <c:showBubbleSize val="0"/>
          <c:showLeaderLines val="1"/>
        </c:dLbls>
        <c:firstSliceAng val="0"/>
      </c:pieChart>
      <c:spPr>
        <a:solidFill>
          <a:srgbClr val="FFFFFF"/>
        </a:solidFill>
        <a:ln w="26840">
          <a:noFill/>
        </a:ln>
      </c:spPr>
    </c:plotArea>
    <c:legend>
      <c:legendPos val="r"/>
      <c:layout>
        <c:manualLayout>
          <c:xMode val="edge"/>
          <c:yMode val="edge"/>
          <c:x val="0.66595744680851088"/>
          <c:y val="0.27160493827160492"/>
          <c:w val="0.32978723404255322"/>
          <c:h val="0.61728395061728392"/>
        </c:manualLayout>
      </c:layout>
      <c:overlay val="0"/>
      <c:spPr>
        <a:noFill/>
        <a:ln w="3355">
          <a:solidFill>
            <a:srgbClr val="000000"/>
          </a:solidFill>
          <a:prstDash val="solid"/>
        </a:ln>
      </c:spPr>
    </c:legend>
    <c:plotVisOnly val="1"/>
    <c:dispBlanksAs val="zero"/>
    <c:showDLblsOverMax val="0"/>
  </c:chart>
  <c:spPr>
    <a:solidFill>
      <a:srgbClr val="FFFFFF"/>
    </a:solidFill>
    <a:ln>
      <a:noFill/>
    </a:ln>
  </c:spPr>
  <c:txPr>
    <a:bodyPr/>
    <a:lstStyle/>
    <a:p>
      <a:pPr>
        <a:defRPr sz="845" b="1" i="0" u="none" strike="noStrike" baseline="0">
          <a:solidFill>
            <a:srgbClr val="000000"/>
          </a:solidFill>
          <a:latin typeface="Times New Roman" panose="02020603050405020304" pitchFamily="18" charset="0"/>
          <a:ea typeface="Arial"/>
          <a:cs typeface="Arial"/>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323</TotalTime>
  <Pages>10</Pages>
  <Words>3192</Words>
  <Characters>19158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awas</dc:creator>
  <cp:keywords/>
  <dc:description/>
  <cp:lastModifiedBy>awas</cp:lastModifiedBy>
  <cp:revision>7</cp:revision>
  <cp:lastPrinted>2017-06-05T08:42:00Z</cp:lastPrinted>
  <dcterms:created xsi:type="dcterms:W3CDTF">2017-06-01T11:53:00Z</dcterms:created>
  <dcterms:modified xsi:type="dcterms:W3CDTF">2019-04-10T10:02:00Z</dcterms:modified>
</cp:coreProperties>
</file>