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BD" w:rsidRPr="002B43D7" w:rsidRDefault="006A4DBD" w:rsidP="006A4DBD">
      <w:pPr>
        <w:spacing w:line="312" w:lineRule="auto"/>
        <w:jc w:val="right"/>
        <w:rPr>
          <w:sz w:val="22"/>
          <w:szCs w:val="22"/>
        </w:rPr>
      </w:pPr>
      <w:bookmarkStart w:id="0" w:name="_GoBack"/>
      <w:bookmarkEnd w:id="0"/>
      <w:r w:rsidRPr="004C6500">
        <w:rPr>
          <w:sz w:val="22"/>
          <w:szCs w:val="22"/>
        </w:rPr>
        <w:t xml:space="preserve">Sławków, </w:t>
      </w:r>
      <w:r>
        <w:rPr>
          <w:sz w:val="22"/>
          <w:szCs w:val="22"/>
        </w:rPr>
        <w:t>08.06.2015</w:t>
      </w:r>
      <w:r w:rsidRPr="004C6500">
        <w:rPr>
          <w:sz w:val="22"/>
          <w:szCs w:val="22"/>
        </w:rPr>
        <w:t>r.</w:t>
      </w:r>
    </w:p>
    <w:p w:rsidR="006A4DBD" w:rsidRDefault="006A4DBD" w:rsidP="006A4DBD">
      <w:pPr>
        <w:spacing w:line="312" w:lineRule="auto"/>
        <w:rPr>
          <w:b/>
          <w:sz w:val="22"/>
          <w:szCs w:val="22"/>
        </w:rPr>
      </w:pPr>
    </w:p>
    <w:p w:rsidR="006A4DBD" w:rsidRDefault="006A4DBD" w:rsidP="006A4DBD">
      <w:pPr>
        <w:spacing w:line="312" w:lineRule="auto"/>
        <w:rPr>
          <w:b/>
          <w:sz w:val="22"/>
          <w:szCs w:val="22"/>
        </w:rPr>
      </w:pPr>
    </w:p>
    <w:p w:rsidR="006A4DBD" w:rsidRPr="004C6500" w:rsidRDefault="006A4DBD" w:rsidP="006A4DBD">
      <w:pPr>
        <w:spacing w:line="312" w:lineRule="auto"/>
        <w:rPr>
          <w:b/>
          <w:sz w:val="22"/>
          <w:szCs w:val="22"/>
        </w:rPr>
      </w:pPr>
    </w:p>
    <w:p w:rsidR="006A4DBD" w:rsidRPr="004C6500" w:rsidRDefault="006A4DBD" w:rsidP="006A4DBD">
      <w:pPr>
        <w:spacing w:line="312" w:lineRule="auto"/>
        <w:jc w:val="center"/>
        <w:outlineLvl w:val="0"/>
        <w:rPr>
          <w:b/>
          <w:sz w:val="22"/>
          <w:szCs w:val="22"/>
        </w:rPr>
      </w:pPr>
      <w:r w:rsidRPr="004C6500">
        <w:rPr>
          <w:b/>
          <w:sz w:val="22"/>
          <w:szCs w:val="22"/>
        </w:rPr>
        <w:t>SPRAWOZDANIE</w:t>
      </w:r>
    </w:p>
    <w:p w:rsidR="006A4DBD" w:rsidRPr="004C6500" w:rsidRDefault="006A4DBD" w:rsidP="006A4DBD">
      <w:pPr>
        <w:spacing w:line="312" w:lineRule="auto"/>
        <w:jc w:val="center"/>
        <w:outlineLvl w:val="0"/>
        <w:rPr>
          <w:b/>
          <w:sz w:val="22"/>
          <w:szCs w:val="22"/>
        </w:rPr>
      </w:pPr>
      <w:r w:rsidRPr="004C6500">
        <w:rPr>
          <w:b/>
          <w:sz w:val="22"/>
          <w:szCs w:val="22"/>
        </w:rPr>
        <w:t>z działalności Miejskiej Biblioteki Publicznej w Sławkowie</w:t>
      </w:r>
    </w:p>
    <w:p w:rsidR="006A4DBD" w:rsidRDefault="006A4DBD" w:rsidP="006A4DBD">
      <w:pPr>
        <w:spacing w:line="312" w:lineRule="auto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w 2014</w:t>
      </w:r>
      <w:r w:rsidRPr="004C6500">
        <w:rPr>
          <w:b/>
          <w:sz w:val="22"/>
          <w:szCs w:val="22"/>
        </w:rPr>
        <w:t xml:space="preserve"> roku.</w:t>
      </w:r>
    </w:p>
    <w:p w:rsidR="006A4DBD" w:rsidRDefault="006A4DBD" w:rsidP="006A4DBD">
      <w:pPr>
        <w:spacing w:line="312" w:lineRule="auto"/>
        <w:jc w:val="center"/>
        <w:outlineLvl w:val="0"/>
        <w:rPr>
          <w:b/>
          <w:sz w:val="22"/>
          <w:szCs w:val="22"/>
        </w:rPr>
      </w:pPr>
    </w:p>
    <w:p w:rsidR="006A4DBD" w:rsidRDefault="006A4DBD" w:rsidP="006A4DBD">
      <w:pPr>
        <w:spacing w:line="312" w:lineRule="auto"/>
        <w:jc w:val="center"/>
        <w:outlineLvl w:val="0"/>
        <w:rPr>
          <w:b/>
          <w:sz w:val="22"/>
          <w:szCs w:val="22"/>
        </w:rPr>
      </w:pPr>
    </w:p>
    <w:p w:rsidR="006A4DBD" w:rsidRPr="002B43D7" w:rsidRDefault="006A4DBD" w:rsidP="006A4DBD">
      <w:pPr>
        <w:spacing w:line="312" w:lineRule="auto"/>
        <w:jc w:val="center"/>
        <w:outlineLvl w:val="0"/>
        <w:rPr>
          <w:b/>
          <w:sz w:val="22"/>
          <w:szCs w:val="22"/>
        </w:rPr>
      </w:pPr>
    </w:p>
    <w:p w:rsidR="006A4DBD" w:rsidRPr="004C6500" w:rsidRDefault="006A4DBD" w:rsidP="006A4DBD">
      <w:pPr>
        <w:spacing w:line="312" w:lineRule="auto"/>
        <w:ind w:left="705" w:hanging="705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733D53">
        <w:rPr>
          <w:b/>
          <w:sz w:val="22"/>
          <w:szCs w:val="22"/>
        </w:rPr>
        <w:t xml:space="preserve">Najważniejsze </w:t>
      </w:r>
      <w:r w:rsidR="00067D39">
        <w:rPr>
          <w:b/>
          <w:sz w:val="22"/>
          <w:szCs w:val="22"/>
        </w:rPr>
        <w:t xml:space="preserve">wydarzenia </w:t>
      </w:r>
      <w:r w:rsidR="00733D53">
        <w:rPr>
          <w:b/>
          <w:sz w:val="22"/>
          <w:szCs w:val="22"/>
        </w:rPr>
        <w:t xml:space="preserve">w działalności </w:t>
      </w:r>
      <w:r w:rsidRPr="004C6500">
        <w:rPr>
          <w:b/>
          <w:sz w:val="22"/>
          <w:szCs w:val="22"/>
        </w:rPr>
        <w:t>Biblioteki.</w:t>
      </w:r>
    </w:p>
    <w:p w:rsidR="006A4DBD" w:rsidRPr="004C6500" w:rsidRDefault="006A4DBD" w:rsidP="006A4DBD">
      <w:pPr>
        <w:spacing w:line="312" w:lineRule="auto"/>
        <w:jc w:val="both"/>
        <w:outlineLvl w:val="0"/>
        <w:rPr>
          <w:sz w:val="22"/>
          <w:szCs w:val="22"/>
        </w:rPr>
      </w:pPr>
    </w:p>
    <w:p w:rsidR="006A4DBD" w:rsidRPr="006A4DBD" w:rsidRDefault="006A4DBD" w:rsidP="006A4DBD">
      <w:pPr>
        <w:spacing w:line="312" w:lineRule="auto"/>
        <w:ind w:firstLine="705"/>
        <w:jc w:val="both"/>
        <w:outlineLvl w:val="0"/>
        <w:rPr>
          <w:sz w:val="22"/>
          <w:szCs w:val="22"/>
        </w:rPr>
      </w:pPr>
      <w:r w:rsidRPr="006A4DBD">
        <w:rPr>
          <w:sz w:val="22"/>
          <w:szCs w:val="22"/>
        </w:rPr>
        <w:t>Rok 2014, za sprawą udziału w III rundzie Programu Rozwoju Bibliotek był dla sławkowskiej Biblioteki czasem intensywnej pracy, który przyniósł wiele nowych doświadczeń i satysfakcji:</w:t>
      </w:r>
    </w:p>
    <w:p w:rsidR="006A4DBD" w:rsidRPr="004C6500" w:rsidRDefault="006A4DBD" w:rsidP="006A4DBD">
      <w:pPr>
        <w:spacing w:line="312" w:lineRule="auto"/>
        <w:contextualSpacing/>
        <w:jc w:val="both"/>
        <w:outlineLvl w:val="0"/>
        <w:rPr>
          <w:sz w:val="22"/>
          <w:szCs w:val="22"/>
        </w:rPr>
      </w:pPr>
      <w:r w:rsidRPr="004C6500">
        <w:rPr>
          <w:sz w:val="22"/>
          <w:szCs w:val="22"/>
        </w:rPr>
        <w:t>- Opracowano Plan rozwoju biblioteki na lata 2014-2016.</w:t>
      </w:r>
    </w:p>
    <w:p w:rsidR="006A4DBD" w:rsidRPr="004C6500" w:rsidRDefault="006A4DBD" w:rsidP="006A4DBD">
      <w:pPr>
        <w:spacing w:line="312" w:lineRule="auto"/>
        <w:contextualSpacing/>
        <w:jc w:val="both"/>
        <w:outlineLvl w:val="0"/>
        <w:rPr>
          <w:sz w:val="22"/>
          <w:szCs w:val="22"/>
        </w:rPr>
      </w:pPr>
      <w:r w:rsidRPr="004C6500">
        <w:rPr>
          <w:sz w:val="22"/>
          <w:szCs w:val="22"/>
        </w:rPr>
        <w:t>- Biblioteka przystąpiła do konkursu grantowego „Aktywna Biblioteka</w:t>
      </w:r>
      <w:r>
        <w:rPr>
          <w:sz w:val="22"/>
          <w:szCs w:val="22"/>
        </w:rPr>
        <w:t>”</w:t>
      </w:r>
      <w:r w:rsidRPr="004C6500">
        <w:rPr>
          <w:sz w:val="22"/>
          <w:szCs w:val="22"/>
        </w:rPr>
        <w:t xml:space="preserve">, w ramach którego otrzymała dotację na wsparcie projektu „Hobby studio” – </w:t>
      </w:r>
      <w:r>
        <w:rPr>
          <w:sz w:val="22"/>
          <w:szCs w:val="22"/>
        </w:rPr>
        <w:t>cykl warsztatów i spotkań dla młodzieży. Wysokość dotacji</w:t>
      </w:r>
      <w:r w:rsidRPr="004C6500">
        <w:rPr>
          <w:sz w:val="22"/>
          <w:szCs w:val="22"/>
        </w:rPr>
        <w:t xml:space="preserve"> to 4.500,00 zł. W ramach projektu Biblioteka przeprowadziła warsztaty rysunkowe, zajęcia z </w:t>
      </w:r>
      <w:r w:rsidR="00926900">
        <w:rPr>
          <w:sz w:val="22"/>
          <w:szCs w:val="22"/>
        </w:rPr>
        <w:t> </w:t>
      </w:r>
      <w:r w:rsidRPr="004C6500">
        <w:rPr>
          <w:sz w:val="22"/>
          <w:szCs w:val="22"/>
        </w:rPr>
        <w:t>grafiki, malarstwa akrylowego, rzeźby, decoupage oraz warszta</w:t>
      </w:r>
      <w:r>
        <w:rPr>
          <w:sz w:val="22"/>
          <w:szCs w:val="22"/>
        </w:rPr>
        <w:t>t</w:t>
      </w:r>
      <w:r w:rsidRPr="004C6500">
        <w:rPr>
          <w:sz w:val="22"/>
          <w:szCs w:val="22"/>
        </w:rPr>
        <w:t xml:space="preserve">y informatyczne i spotkania ze </w:t>
      </w:r>
      <w:r w:rsidR="00926900">
        <w:rPr>
          <w:sz w:val="22"/>
          <w:szCs w:val="22"/>
        </w:rPr>
        <w:t> </w:t>
      </w:r>
      <w:r w:rsidRPr="004C6500">
        <w:rPr>
          <w:sz w:val="22"/>
          <w:szCs w:val="22"/>
        </w:rPr>
        <w:t>stylistą, wizażystką i kosmetologiem.</w:t>
      </w:r>
    </w:p>
    <w:p w:rsidR="006A4DBD" w:rsidRDefault="006A4DBD" w:rsidP="006A4DBD">
      <w:pPr>
        <w:spacing w:line="312" w:lineRule="auto"/>
        <w:contextualSpacing/>
        <w:jc w:val="both"/>
        <w:outlineLvl w:val="0"/>
        <w:rPr>
          <w:sz w:val="22"/>
          <w:szCs w:val="22"/>
        </w:rPr>
      </w:pPr>
      <w:r w:rsidRPr="004C6500">
        <w:rPr>
          <w:sz w:val="22"/>
          <w:szCs w:val="22"/>
        </w:rPr>
        <w:t>- Bibli</w:t>
      </w:r>
      <w:r>
        <w:rPr>
          <w:sz w:val="22"/>
          <w:szCs w:val="22"/>
        </w:rPr>
        <w:t>o</w:t>
      </w:r>
      <w:r w:rsidRPr="004C6500">
        <w:rPr>
          <w:sz w:val="22"/>
          <w:szCs w:val="22"/>
        </w:rPr>
        <w:t>teka przystąpiła do projektu „O finansach… w bibliote</w:t>
      </w:r>
      <w:r>
        <w:rPr>
          <w:sz w:val="22"/>
          <w:szCs w:val="22"/>
        </w:rPr>
        <w:t xml:space="preserve">ce”, który dedykowany był dla 21 </w:t>
      </w:r>
      <w:r w:rsidRPr="004C6500">
        <w:rPr>
          <w:sz w:val="22"/>
          <w:szCs w:val="22"/>
        </w:rPr>
        <w:t>osób w wieku 50+.</w:t>
      </w:r>
      <w:r w:rsidR="00C97456">
        <w:rPr>
          <w:sz w:val="22"/>
          <w:szCs w:val="22"/>
        </w:rPr>
        <w:t xml:space="preserve"> </w:t>
      </w:r>
      <w:r w:rsidRPr="004C6500">
        <w:rPr>
          <w:sz w:val="22"/>
          <w:szCs w:val="22"/>
        </w:rPr>
        <w:t xml:space="preserve">Osoby te uczestniczyły w cyklu spotkań z zakresu edukacji ekonomicznej i finansowej. Biblioteka otrzymała dotację w wysokości 750,00 zł. Ponadto Biblioteka zdobyła III miejsce w </w:t>
      </w:r>
      <w:r w:rsidR="00926900">
        <w:rPr>
          <w:sz w:val="22"/>
          <w:szCs w:val="22"/>
        </w:rPr>
        <w:t> </w:t>
      </w:r>
      <w:r w:rsidRPr="004C6500">
        <w:rPr>
          <w:sz w:val="22"/>
          <w:szCs w:val="22"/>
        </w:rPr>
        <w:t>konkursie na najlepszą historię ucze</w:t>
      </w:r>
      <w:r>
        <w:rPr>
          <w:sz w:val="22"/>
          <w:szCs w:val="22"/>
        </w:rPr>
        <w:t>stnika spotkań</w:t>
      </w:r>
      <w:r w:rsidRPr="004C6500">
        <w:rPr>
          <w:sz w:val="22"/>
          <w:szCs w:val="22"/>
        </w:rPr>
        <w:t>, za które</w:t>
      </w:r>
      <w:r>
        <w:rPr>
          <w:sz w:val="22"/>
          <w:szCs w:val="22"/>
        </w:rPr>
        <w:t xml:space="preserve"> otrzymała nagrodę w postaci ekspresu do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kawy i aparatu fotograficznego.</w:t>
      </w:r>
    </w:p>
    <w:p w:rsidR="006A4DBD" w:rsidRDefault="006A4DBD" w:rsidP="006A4DBD">
      <w:pPr>
        <w:spacing w:line="312" w:lineRule="auto"/>
        <w:contextualSpacing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Biblioteka przystąpiła do konkursu „Strefa Eksperymentu”, który jest elementem programu LABIB. Projekt „Inkubator Aktywnych Rodziców” skierowany był do kobiet w ciąży i rodziców małych dzieci (0-3 lata), a jego celem było zainicjowanie w Bibliotece swoistego klubu rodzica. Biblioteka zdobyła II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miejsce w konkursie i otrzymała dotację w wysokości 4.000,00 zł.</w:t>
      </w:r>
    </w:p>
    <w:p w:rsidR="006A4DBD" w:rsidRDefault="006A4DBD" w:rsidP="006A4DBD">
      <w:pPr>
        <w:spacing w:line="312" w:lineRule="auto"/>
        <w:contextualSpacing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Biblioteka przystąpiła do konkursu „Dzieci buszują w Bibliotece”, zorganizowanego w ra</w:t>
      </w:r>
      <w:r w:rsidR="00C97456">
        <w:rPr>
          <w:sz w:val="22"/>
          <w:szCs w:val="22"/>
        </w:rPr>
        <w:t xml:space="preserve">mach projektu „Dzieci i rodzice </w:t>
      </w:r>
      <w:r>
        <w:rPr>
          <w:sz w:val="22"/>
          <w:szCs w:val="22"/>
        </w:rPr>
        <w:t>w bibliotece” przez Fundację Rozwoju dzieci im. Jana Amosa Komeńskiego. Biblioteka zajęła I miejsce w konkursie i</w:t>
      </w:r>
      <w:r w:rsidR="00C97456">
        <w:rPr>
          <w:sz w:val="22"/>
          <w:szCs w:val="22"/>
        </w:rPr>
        <w:t xml:space="preserve"> otrzymała zestaw książek, gier</w:t>
      </w:r>
      <w:r>
        <w:rPr>
          <w:sz w:val="22"/>
          <w:szCs w:val="22"/>
        </w:rPr>
        <w:t xml:space="preserve">, zabawek i audiobooków o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wartości 794,10 zł.</w:t>
      </w:r>
    </w:p>
    <w:p w:rsidR="006A4DBD" w:rsidRDefault="006A4DBD" w:rsidP="006A4DBD">
      <w:pPr>
        <w:spacing w:line="312" w:lineRule="auto"/>
        <w:contextualSpacing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Biblioteka przystąpiła do Programu budowania partnerstw dla bibliotek III rundy PRB, realizowanego przez Stowarzyszenie Centrum Wspierania Aktywności Lokalnej CAL, w ramach PRB. 23 czerwca nawiązano współpracę partnerską mającą na celu rozwój czytelnictwa i edukacji kulturalnej dzieci i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młodzieży w Sławkowie. W spotkaniu uczestniczyła trenerka, Pani Iwona Kusak z CAL.</w:t>
      </w:r>
    </w:p>
    <w:p w:rsidR="006A4DBD" w:rsidRDefault="006A4DBD" w:rsidP="006A4DBD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W 2014 roku Bibli</w:t>
      </w:r>
      <w:r>
        <w:rPr>
          <w:sz w:val="22"/>
          <w:szCs w:val="22"/>
        </w:rPr>
        <w:t>oteka otrzymała następujące nagrody:</w:t>
      </w:r>
    </w:p>
    <w:p w:rsidR="006A4DBD" w:rsidRDefault="006A4DBD" w:rsidP="006A4DBD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III miejsce w konkursie na najlepszą historię uczestnika spotkań w ramach projektu „O finansach… w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bibliotece” – nagroda przyznana przez Fundację Rozwoju Społeczeństwa Informacyjnego,</w:t>
      </w:r>
    </w:p>
    <w:p w:rsidR="006A4DBD" w:rsidRDefault="006A4DBD" w:rsidP="006A4DBD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II miejsce w konkursie „Strefa Eksperymentu” – nagroda przyznana przez Fundację Rozwoju Społeczeństwa Informacyjnego,</w:t>
      </w:r>
    </w:p>
    <w:p w:rsidR="006A4DBD" w:rsidRDefault="006A4DBD" w:rsidP="006A4DBD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I miejsce w konkursie „Dzieci buszują w bibliotece” – nagroda przyznana przez Fundację Rozwoju dzieci im. Jana Amosa Komeńskiego.</w:t>
      </w:r>
    </w:p>
    <w:p w:rsidR="006A4DBD" w:rsidRPr="00C61C7A" w:rsidRDefault="006A4DBD" w:rsidP="006A4DBD">
      <w:pPr>
        <w:spacing w:line="312" w:lineRule="auto"/>
        <w:ind w:firstLine="708"/>
        <w:jc w:val="both"/>
        <w:rPr>
          <w:sz w:val="22"/>
          <w:szCs w:val="22"/>
        </w:rPr>
      </w:pPr>
      <w:r w:rsidRPr="00C61C7A">
        <w:rPr>
          <w:sz w:val="22"/>
          <w:szCs w:val="22"/>
        </w:rPr>
        <w:t>Wzorem lat ubiegłych wśród trudności na plan pierwszy wysuwa się kwestia zbyt małych środków finansowych na systematyczne uzupełnianie księgozbioru, a w szczególności na prenumeratę czasopism (Biblioteka prenu</w:t>
      </w:r>
      <w:r>
        <w:rPr>
          <w:sz w:val="22"/>
          <w:szCs w:val="22"/>
        </w:rPr>
        <w:t>meruje zaledwie jedno czasopismo</w:t>
      </w:r>
      <w:r w:rsidRPr="00C61C7A">
        <w:rPr>
          <w:sz w:val="22"/>
          <w:szCs w:val="22"/>
        </w:rPr>
        <w:t xml:space="preserve"> bibliotekarskie). 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</w:p>
    <w:p w:rsidR="006A4DBD" w:rsidRPr="004C6500" w:rsidRDefault="006A4DBD" w:rsidP="006A4DBD">
      <w:pPr>
        <w:spacing w:line="312" w:lineRule="auto"/>
        <w:jc w:val="both"/>
        <w:outlineLvl w:val="0"/>
        <w:rPr>
          <w:b/>
          <w:sz w:val="22"/>
          <w:szCs w:val="22"/>
        </w:rPr>
      </w:pPr>
      <w:r w:rsidRPr="004C6500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4C6500">
        <w:rPr>
          <w:b/>
          <w:sz w:val="22"/>
          <w:szCs w:val="22"/>
        </w:rPr>
        <w:t>Modernizacja bazy lokalowej.</w:t>
      </w:r>
    </w:p>
    <w:p w:rsidR="006A4DBD" w:rsidRPr="004C6500" w:rsidRDefault="006A4DBD" w:rsidP="006A4DBD">
      <w:pPr>
        <w:spacing w:line="312" w:lineRule="auto"/>
        <w:jc w:val="both"/>
        <w:rPr>
          <w:b/>
          <w:sz w:val="22"/>
          <w:szCs w:val="22"/>
        </w:rPr>
      </w:pPr>
    </w:p>
    <w:p w:rsidR="00733D53" w:rsidRDefault="006A4DBD" w:rsidP="00733D53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W 2014</w:t>
      </w:r>
      <w:r w:rsidRPr="004C6500">
        <w:rPr>
          <w:sz w:val="22"/>
          <w:szCs w:val="22"/>
        </w:rPr>
        <w:t xml:space="preserve"> roku Bi</w:t>
      </w:r>
      <w:r>
        <w:rPr>
          <w:sz w:val="22"/>
          <w:szCs w:val="22"/>
        </w:rPr>
        <w:t>blioteka zakupiła kosiarkę do trawy.</w:t>
      </w:r>
      <w:r w:rsidR="00733D53">
        <w:rPr>
          <w:sz w:val="22"/>
          <w:szCs w:val="22"/>
        </w:rPr>
        <w:t xml:space="preserve"> Ponadto w omawianym okresie </w:t>
      </w:r>
      <w:r>
        <w:rPr>
          <w:sz w:val="22"/>
          <w:szCs w:val="22"/>
        </w:rPr>
        <w:t xml:space="preserve"> </w:t>
      </w:r>
      <w:r w:rsidR="00733D53">
        <w:rPr>
          <w:sz w:val="22"/>
          <w:szCs w:val="22"/>
        </w:rPr>
        <w:t>przeprowadzano</w:t>
      </w:r>
    </w:p>
    <w:p w:rsidR="006A4DBD" w:rsidRPr="004C6500" w:rsidRDefault="00733D53" w:rsidP="00733D53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4DBD">
        <w:rPr>
          <w:sz w:val="22"/>
          <w:szCs w:val="22"/>
        </w:rPr>
        <w:t>remont da</w:t>
      </w:r>
      <w:r>
        <w:rPr>
          <w:sz w:val="22"/>
          <w:szCs w:val="22"/>
        </w:rPr>
        <w:t xml:space="preserve">chu </w:t>
      </w:r>
      <w:r w:rsidR="006A4DBD">
        <w:rPr>
          <w:sz w:val="22"/>
          <w:szCs w:val="22"/>
        </w:rPr>
        <w:t>polegający na izolacji szczelin dylatacyjnych konstrukcyjnych poziomych.</w:t>
      </w:r>
    </w:p>
    <w:p w:rsidR="006A4DBD" w:rsidRPr="004C6500" w:rsidRDefault="006A4DBD" w:rsidP="006A4DBD">
      <w:pPr>
        <w:spacing w:line="312" w:lineRule="auto"/>
        <w:jc w:val="both"/>
        <w:rPr>
          <w:b/>
          <w:sz w:val="22"/>
          <w:szCs w:val="22"/>
        </w:rPr>
      </w:pPr>
    </w:p>
    <w:p w:rsidR="006A4DBD" w:rsidRPr="004C6500" w:rsidRDefault="00733D53" w:rsidP="006A4DBD">
      <w:pPr>
        <w:spacing w:line="312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6A4DBD" w:rsidRPr="004C6500">
        <w:rPr>
          <w:b/>
          <w:sz w:val="22"/>
          <w:szCs w:val="22"/>
        </w:rPr>
        <w:t xml:space="preserve">Zbiory biblioteczne. </w:t>
      </w:r>
    </w:p>
    <w:p w:rsidR="006A4DBD" w:rsidRPr="004C6500" w:rsidRDefault="006A4DBD" w:rsidP="006A4DBD">
      <w:pPr>
        <w:spacing w:line="312" w:lineRule="auto"/>
        <w:ind w:left="360"/>
        <w:jc w:val="both"/>
        <w:rPr>
          <w:b/>
          <w:sz w:val="22"/>
          <w:szCs w:val="22"/>
        </w:rPr>
      </w:pPr>
    </w:p>
    <w:p w:rsidR="00733D53" w:rsidRDefault="006A4DBD" w:rsidP="006A4DBD">
      <w:pPr>
        <w:spacing w:line="312" w:lineRule="auto"/>
        <w:ind w:left="705" w:hanging="705"/>
        <w:jc w:val="both"/>
        <w:rPr>
          <w:sz w:val="22"/>
          <w:szCs w:val="22"/>
        </w:rPr>
      </w:pPr>
      <w:r w:rsidRPr="004C6500">
        <w:rPr>
          <w:sz w:val="22"/>
          <w:szCs w:val="22"/>
        </w:rPr>
        <w:t xml:space="preserve">Łączny </w:t>
      </w:r>
      <w:r>
        <w:rPr>
          <w:sz w:val="22"/>
          <w:szCs w:val="22"/>
        </w:rPr>
        <w:t>stan księgozbioru na koniec 2014</w:t>
      </w:r>
      <w:r w:rsidRPr="004C6500">
        <w:rPr>
          <w:sz w:val="22"/>
          <w:szCs w:val="22"/>
        </w:rPr>
        <w:t xml:space="preserve"> roku wynosił 40 823 wolumi</w:t>
      </w:r>
      <w:r>
        <w:rPr>
          <w:sz w:val="22"/>
          <w:szCs w:val="22"/>
        </w:rPr>
        <w:t xml:space="preserve">ny. </w:t>
      </w:r>
      <w:r w:rsidR="00733D53">
        <w:rPr>
          <w:sz w:val="22"/>
          <w:szCs w:val="22"/>
        </w:rPr>
        <w:t>W stosunku do roku</w:t>
      </w:r>
    </w:p>
    <w:p w:rsidR="006A4DBD" w:rsidRPr="004C6500" w:rsidRDefault="006A4DBD" w:rsidP="006A4DBD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ubiegłego wzrósł on o 815</w:t>
      </w:r>
      <w:r w:rsidRPr="004C6500">
        <w:rPr>
          <w:sz w:val="22"/>
          <w:szCs w:val="22"/>
        </w:rPr>
        <w:t xml:space="preserve"> pozycji. Struktura księgozbioru przedstawiała się następująco:</w:t>
      </w: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- literatura pięk</w:t>
      </w:r>
      <w:r>
        <w:rPr>
          <w:sz w:val="22"/>
          <w:szCs w:val="22"/>
        </w:rPr>
        <w:t>na dla dzieci i młodzieży: 9 696 (+144</w:t>
      </w:r>
      <w:r w:rsidRPr="004C6500">
        <w:rPr>
          <w:sz w:val="22"/>
          <w:szCs w:val="22"/>
        </w:rPr>
        <w:t xml:space="preserve"> wol.),</w:t>
      </w: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- literat</w:t>
      </w:r>
      <w:r>
        <w:rPr>
          <w:sz w:val="22"/>
          <w:szCs w:val="22"/>
        </w:rPr>
        <w:t>ura piękna dla dorosłych: 20 335 (+526</w:t>
      </w:r>
      <w:r w:rsidRPr="004C6500">
        <w:rPr>
          <w:sz w:val="22"/>
          <w:szCs w:val="22"/>
        </w:rPr>
        <w:t xml:space="preserve"> wol.),</w:t>
      </w: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- literatura po</w:t>
      </w:r>
      <w:r>
        <w:rPr>
          <w:sz w:val="22"/>
          <w:szCs w:val="22"/>
        </w:rPr>
        <w:t>pularnonaukowa i naukowa: 11 591(+145</w:t>
      </w:r>
      <w:r w:rsidR="00733D53">
        <w:rPr>
          <w:sz w:val="22"/>
          <w:szCs w:val="22"/>
        </w:rPr>
        <w:t xml:space="preserve"> wol.).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  <w:r w:rsidRPr="004C650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180340</wp:posOffset>
            </wp:positionV>
            <wp:extent cx="5408930" cy="1854835"/>
            <wp:effectExtent l="0" t="0" r="0" b="0"/>
            <wp:wrapSquare wrapText="bothSides"/>
            <wp:docPr id="1" name="Wykr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733D53" w:rsidRDefault="00733D53" w:rsidP="00926900">
      <w:pPr>
        <w:spacing w:line="312" w:lineRule="auto"/>
        <w:jc w:val="both"/>
        <w:rPr>
          <w:sz w:val="22"/>
          <w:szCs w:val="22"/>
        </w:rPr>
      </w:pPr>
    </w:p>
    <w:p w:rsidR="00733D53" w:rsidRDefault="00733D53" w:rsidP="006A4DBD">
      <w:pPr>
        <w:spacing w:line="312" w:lineRule="auto"/>
        <w:ind w:left="705" w:firstLine="3"/>
        <w:jc w:val="both"/>
        <w:rPr>
          <w:sz w:val="22"/>
          <w:szCs w:val="22"/>
        </w:rPr>
      </w:pPr>
    </w:p>
    <w:p w:rsidR="006A4DBD" w:rsidRPr="004C6500" w:rsidRDefault="00733D53" w:rsidP="00733D5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 </w:t>
      </w:r>
      <w:r w:rsidR="006A4DBD">
        <w:rPr>
          <w:sz w:val="22"/>
          <w:szCs w:val="22"/>
        </w:rPr>
        <w:t>śr</w:t>
      </w:r>
      <w:r w:rsidR="006A4DBD" w:rsidRPr="004C6500">
        <w:rPr>
          <w:sz w:val="22"/>
          <w:szCs w:val="22"/>
        </w:rPr>
        <w:t>odków samor</w:t>
      </w:r>
      <w:r w:rsidR="006A4DBD">
        <w:rPr>
          <w:sz w:val="22"/>
          <w:szCs w:val="22"/>
        </w:rPr>
        <w:t>ządowych Biblioteka zakupiła 369 woluminów na kwotę 8.927,68</w:t>
      </w:r>
      <w:r w:rsidR="006A4DBD" w:rsidRPr="004C6500">
        <w:rPr>
          <w:sz w:val="22"/>
          <w:szCs w:val="22"/>
        </w:rPr>
        <w:t xml:space="preserve"> zł. </w:t>
      </w: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Z dotacji Bi</w:t>
      </w:r>
      <w:r>
        <w:rPr>
          <w:sz w:val="22"/>
          <w:szCs w:val="22"/>
        </w:rPr>
        <w:t>blioteki Narodowej zakupiono 233 woluminy na kwotę 4.9</w:t>
      </w:r>
      <w:r w:rsidRPr="004C6500">
        <w:rPr>
          <w:sz w:val="22"/>
          <w:szCs w:val="22"/>
        </w:rPr>
        <w:t>00,00 zł. Sławkowski księgozbiór wzbogacił się także o:</w:t>
      </w: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- książki zakupione z dochodów własn</w:t>
      </w:r>
      <w:r>
        <w:rPr>
          <w:sz w:val="22"/>
          <w:szCs w:val="22"/>
        </w:rPr>
        <w:t>ych - 58 woluminów na kwotę 1.471,81</w:t>
      </w:r>
      <w:r w:rsidRPr="004C6500">
        <w:rPr>
          <w:sz w:val="22"/>
          <w:szCs w:val="22"/>
        </w:rPr>
        <w:t xml:space="preserve"> zł,</w:t>
      </w: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- dary ksi</w:t>
      </w:r>
      <w:r>
        <w:rPr>
          <w:sz w:val="22"/>
          <w:szCs w:val="22"/>
        </w:rPr>
        <w:t>ążkowe - 165</w:t>
      </w:r>
      <w:r w:rsidRPr="004C6500">
        <w:rPr>
          <w:sz w:val="22"/>
          <w:szCs w:val="22"/>
        </w:rPr>
        <w:t xml:space="preserve"> woluminów o wa</w:t>
      </w:r>
      <w:r>
        <w:rPr>
          <w:sz w:val="22"/>
          <w:szCs w:val="22"/>
        </w:rPr>
        <w:t>rtości 2.108,60</w:t>
      </w:r>
      <w:r w:rsidRPr="004C6500">
        <w:rPr>
          <w:sz w:val="22"/>
          <w:szCs w:val="22"/>
        </w:rPr>
        <w:t xml:space="preserve"> zł.</w:t>
      </w: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 xml:space="preserve">Wszystkie książki były na bieżąco opracowywane pod względem formalnym i rzeczowym. </w:t>
      </w:r>
    </w:p>
    <w:p w:rsidR="00733D53" w:rsidRDefault="006A4DBD" w:rsidP="00733D53">
      <w:pPr>
        <w:spacing w:line="312" w:lineRule="auto"/>
        <w:ind w:firstLine="705"/>
        <w:jc w:val="both"/>
        <w:rPr>
          <w:sz w:val="22"/>
          <w:szCs w:val="22"/>
        </w:rPr>
      </w:pPr>
      <w:r>
        <w:rPr>
          <w:sz w:val="22"/>
          <w:szCs w:val="22"/>
        </w:rPr>
        <w:t>W 2014</w:t>
      </w:r>
      <w:r w:rsidRPr="004C6500">
        <w:rPr>
          <w:sz w:val="22"/>
          <w:szCs w:val="22"/>
        </w:rPr>
        <w:t xml:space="preserve"> roku Biblioteka gromadziła swe zbiory drogą zakupu oraz darów od czytelników i </w:t>
      </w:r>
      <w:r w:rsidR="00926900">
        <w:rPr>
          <w:sz w:val="22"/>
          <w:szCs w:val="22"/>
        </w:rPr>
        <w:t> </w:t>
      </w:r>
      <w:r w:rsidRPr="004C6500">
        <w:rPr>
          <w:sz w:val="22"/>
          <w:szCs w:val="22"/>
        </w:rPr>
        <w:t>ins</w:t>
      </w:r>
      <w:r w:rsidR="00733D53">
        <w:rPr>
          <w:sz w:val="22"/>
          <w:szCs w:val="22"/>
        </w:rPr>
        <w:t xml:space="preserve">tytucji. </w:t>
      </w:r>
      <w:r w:rsidRPr="004C6500">
        <w:rPr>
          <w:sz w:val="22"/>
          <w:szCs w:val="22"/>
        </w:rPr>
        <w:t>Zakup książek był poprzedzony porównaniem cen poszczególnych</w:t>
      </w:r>
      <w:r w:rsidR="00733D53">
        <w:rPr>
          <w:sz w:val="22"/>
          <w:szCs w:val="22"/>
        </w:rPr>
        <w:t xml:space="preserve"> tytułów u wybranych dostawców. </w:t>
      </w:r>
      <w:r w:rsidRPr="004C6500">
        <w:rPr>
          <w:sz w:val="22"/>
          <w:szCs w:val="22"/>
        </w:rPr>
        <w:t>Przy wyborze tytułów w pierwszej kolejności uwzględniano zapyta</w:t>
      </w:r>
      <w:r w:rsidR="00733D53">
        <w:rPr>
          <w:sz w:val="22"/>
          <w:szCs w:val="22"/>
        </w:rPr>
        <w:t xml:space="preserve">nia i zgłoszenia czytelników (w </w:t>
      </w:r>
      <w:r w:rsidRPr="004C6500">
        <w:rPr>
          <w:sz w:val="22"/>
          <w:szCs w:val="22"/>
        </w:rPr>
        <w:t xml:space="preserve">tym napływające poprzez zakładkę </w:t>
      </w:r>
      <w:r w:rsidRPr="004C6500">
        <w:rPr>
          <w:i/>
          <w:sz w:val="22"/>
          <w:szCs w:val="22"/>
        </w:rPr>
        <w:t>e-dezyderatka</w:t>
      </w:r>
      <w:r w:rsidR="00733D53">
        <w:rPr>
          <w:sz w:val="22"/>
          <w:szCs w:val="22"/>
        </w:rPr>
        <w:t xml:space="preserve"> </w:t>
      </w:r>
      <w:r w:rsidRPr="004C6500">
        <w:rPr>
          <w:sz w:val="22"/>
          <w:szCs w:val="22"/>
        </w:rPr>
        <w:t>znajdując</w:t>
      </w:r>
      <w:r>
        <w:rPr>
          <w:sz w:val="22"/>
          <w:szCs w:val="22"/>
        </w:rPr>
        <w:t>ej się na stronie internetowej B</w:t>
      </w:r>
      <w:r w:rsidRPr="004C6500">
        <w:rPr>
          <w:sz w:val="22"/>
          <w:szCs w:val="22"/>
        </w:rPr>
        <w:t xml:space="preserve">iblioteki). </w:t>
      </w:r>
    </w:p>
    <w:p w:rsidR="00733D53" w:rsidRDefault="006A4DBD" w:rsidP="006A4DBD">
      <w:pPr>
        <w:spacing w:line="312" w:lineRule="auto"/>
        <w:ind w:left="705" w:hanging="705"/>
        <w:jc w:val="both"/>
        <w:rPr>
          <w:sz w:val="22"/>
          <w:szCs w:val="22"/>
        </w:rPr>
      </w:pPr>
      <w:r w:rsidRPr="004C6500">
        <w:rPr>
          <w:sz w:val="22"/>
          <w:szCs w:val="22"/>
        </w:rPr>
        <w:t xml:space="preserve">O wyborze tytułów decydowano także na podstawie przeglądu nowości na rynku wydawniczym, w </w:t>
      </w:r>
    </w:p>
    <w:p w:rsidR="006A4DBD" w:rsidRPr="004C6500" w:rsidRDefault="00926900" w:rsidP="006A4DBD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r w:rsidR="006A4DBD" w:rsidRPr="004C6500">
        <w:rPr>
          <w:sz w:val="22"/>
          <w:szCs w:val="22"/>
        </w:rPr>
        <w:t>tym poprzez uczestnictwo w katowickich i krakowskich targach książk</w:t>
      </w:r>
      <w:r w:rsidR="006A4DBD">
        <w:rPr>
          <w:sz w:val="22"/>
          <w:szCs w:val="22"/>
        </w:rPr>
        <w:t xml:space="preserve">i. </w:t>
      </w:r>
    </w:p>
    <w:p w:rsidR="006A4DBD" w:rsidRPr="004C6500" w:rsidRDefault="006A4DBD" w:rsidP="00C97456">
      <w:pPr>
        <w:spacing w:line="312" w:lineRule="auto"/>
        <w:ind w:firstLine="70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2014</w:t>
      </w:r>
      <w:r w:rsidRPr="004C6500">
        <w:rPr>
          <w:sz w:val="22"/>
          <w:szCs w:val="22"/>
        </w:rPr>
        <w:t xml:space="preserve"> roku Biblio</w:t>
      </w:r>
      <w:r>
        <w:rPr>
          <w:sz w:val="22"/>
          <w:szCs w:val="22"/>
        </w:rPr>
        <w:t xml:space="preserve">teka prenumerowała tylko jedno czasopismo fachowe, </w:t>
      </w:r>
      <w:r w:rsidRPr="004C6500">
        <w:rPr>
          <w:sz w:val="22"/>
          <w:szCs w:val="22"/>
        </w:rPr>
        <w:t>„Poradnik Bibliot</w:t>
      </w:r>
      <w:r>
        <w:rPr>
          <w:sz w:val="22"/>
          <w:szCs w:val="22"/>
        </w:rPr>
        <w:t>ekarza”</w:t>
      </w:r>
      <w:r w:rsidRPr="004C6500">
        <w:rPr>
          <w:sz w:val="22"/>
          <w:szCs w:val="22"/>
        </w:rPr>
        <w:t>.</w:t>
      </w:r>
      <w:r w:rsidR="00733D53">
        <w:rPr>
          <w:sz w:val="22"/>
          <w:szCs w:val="22"/>
        </w:rPr>
        <w:t xml:space="preserve"> </w:t>
      </w:r>
      <w:r w:rsidRPr="004C6500">
        <w:rPr>
          <w:sz w:val="22"/>
          <w:szCs w:val="22"/>
        </w:rPr>
        <w:t xml:space="preserve">Biblioteka nadal pozyskuje czasopisma w formie darów czytelniczych, co częściowo rekompensuje brak </w:t>
      </w:r>
      <w:r>
        <w:rPr>
          <w:sz w:val="22"/>
          <w:szCs w:val="22"/>
        </w:rPr>
        <w:t>stałej prenumeraty. Darczyńcami</w:t>
      </w:r>
      <w:r w:rsidRPr="004C6500">
        <w:rPr>
          <w:sz w:val="22"/>
          <w:szCs w:val="22"/>
        </w:rPr>
        <w:t xml:space="preserve">, wzorem lat ubiegłych były </w:t>
      </w:r>
      <w:r>
        <w:rPr>
          <w:sz w:val="22"/>
          <w:szCs w:val="22"/>
        </w:rPr>
        <w:t xml:space="preserve">głównie </w:t>
      </w:r>
      <w:r w:rsidRPr="004C6500">
        <w:rPr>
          <w:sz w:val="22"/>
          <w:szCs w:val="22"/>
        </w:rPr>
        <w:t>kobiety, które wypełniły regały prasowe periodykami kobiecymi, poradnikowy</w:t>
      </w:r>
      <w:r>
        <w:rPr>
          <w:sz w:val="22"/>
          <w:szCs w:val="22"/>
        </w:rPr>
        <w:t>mi i hobbystycznymi</w:t>
      </w:r>
      <w:r w:rsidRPr="004C6500">
        <w:rPr>
          <w:sz w:val="22"/>
          <w:szCs w:val="22"/>
        </w:rPr>
        <w:t>. Dużą popularnością cieszyły się tytuły prasy samorządowej, przekazywane nieodpłatnie przez Urząd Miasta oraz Miejską i Powiatową Bibliotekę Publiczną w Będzinie. Wśród nich niezmiennie na pierwszym miejscu znajduje się „Kurier Sławkowski”, który od lat ma swoich stałych czytelników. W minionym roku Bi</w:t>
      </w:r>
      <w:r w:rsidR="00C97456">
        <w:rPr>
          <w:sz w:val="22"/>
          <w:szCs w:val="22"/>
        </w:rPr>
        <w:t xml:space="preserve">blioteka udostępniła </w:t>
      </w:r>
      <w:r>
        <w:rPr>
          <w:sz w:val="22"/>
          <w:szCs w:val="22"/>
        </w:rPr>
        <w:t>łącznie 606</w:t>
      </w:r>
      <w:r w:rsidRPr="004C6500">
        <w:rPr>
          <w:sz w:val="22"/>
          <w:szCs w:val="22"/>
        </w:rPr>
        <w:t xml:space="preserve"> czasopism,  w</w:t>
      </w:r>
      <w:r>
        <w:rPr>
          <w:sz w:val="22"/>
          <w:szCs w:val="22"/>
        </w:rPr>
        <w:t xml:space="preserve"> tym na zewnątrz wypożyczyła 184 egzemplarze, na miejscu zaś udostępniono 422 tytuły prasowe.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</w:p>
    <w:p w:rsidR="006A4DBD" w:rsidRPr="004C6500" w:rsidRDefault="00733D53" w:rsidP="006A4DBD">
      <w:pPr>
        <w:spacing w:line="312" w:lineRule="auto"/>
        <w:ind w:left="705" w:hanging="705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6A4DBD" w:rsidRPr="004C6500">
        <w:rPr>
          <w:b/>
          <w:sz w:val="22"/>
          <w:szCs w:val="22"/>
        </w:rPr>
        <w:t>Czytelnictwo. Promocja. Działalność informacyjna.</w:t>
      </w:r>
    </w:p>
    <w:p w:rsidR="006A4DBD" w:rsidRPr="004C6500" w:rsidRDefault="006A4DBD" w:rsidP="006A4DBD">
      <w:pPr>
        <w:spacing w:line="312" w:lineRule="auto"/>
        <w:jc w:val="both"/>
        <w:rPr>
          <w:b/>
          <w:sz w:val="22"/>
          <w:szCs w:val="22"/>
        </w:rPr>
      </w:pPr>
    </w:p>
    <w:p w:rsidR="006A4DBD" w:rsidRPr="004C6500" w:rsidRDefault="006A4DBD" w:rsidP="00733D53">
      <w:pPr>
        <w:spacing w:line="312" w:lineRule="auto"/>
        <w:ind w:firstLine="705"/>
        <w:jc w:val="both"/>
        <w:rPr>
          <w:sz w:val="22"/>
          <w:szCs w:val="22"/>
        </w:rPr>
      </w:pPr>
      <w:r>
        <w:rPr>
          <w:sz w:val="22"/>
          <w:szCs w:val="22"/>
        </w:rPr>
        <w:t>W 2014</w:t>
      </w:r>
      <w:r w:rsidRPr="004C6500">
        <w:rPr>
          <w:sz w:val="22"/>
          <w:szCs w:val="22"/>
        </w:rPr>
        <w:t xml:space="preserve"> roku </w:t>
      </w:r>
      <w:r>
        <w:rPr>
          <w:sz w:val="22"/>
          <w:szCs w:val="22"/>
        </w:rPr>
        <w:t>w Bibliotece zarejestrowano 1773</w:t>
      </w:r>
      <w:r w:rsidRPr="004C6500">
        <w:rPr>
          <w:sz w:val="22"/>
          <w:szCs w:val="22"/>
        </w:rPr>
        <w:t xml:space="preserve"> cz</w:t>
      </w:r>
      <w:r>
        <w:rPr>
          <w:sz w:val="22"/>
          <w:szCs w:val="22"/>
        </w:rPr>
        <w:t>ytelników. Nastąpił zatem spadek</w:t>
      </w:r>
      <w:r w:rsidRPr="004C6500">
        <w:rPr>
          <w:sz w:val="22"/>
          <w:szCs w:val="22"/>
        </w:rPr>
        <w:t xml:space="preserve"> ich </w:t>
      </w:r>
      <w:r w:rsidR="00733D53">
        <w:rPr>
          <w:sz w:val="22"/>
          <w:szCs w:val="22"/>
        </w:rPr>
        <w:t xml:space="preserve">liczby w </w:t>
      </w:r>
      <w:r>
        <w:rPr>
          <w:sz w:val="22"/>
          <w:szCs w:val="22"/>
        </w:rPr>
        <w:t>porównaniu z rokiem 2013 (-76</w:t>
      </w:r>
      <w:r w:rsidRPr="004C6500">
        <w:rPr>
          <w:sz w:val="22"/>
          <w:szCs w:val="22"/>
        </w:rPr>
        <w:t xml:space="preserve"> osób). </w:t>
      </w: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Zestawienie za dwa ostatnie lata struktury czytelników wg wieku kształtuje się następująco:</w:t>
      </w:r>
    </w:p>
    <w:p w:rsidR="006A4DBD" w:rsidRPr="004C6500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 w:rsidRPr="004C6500">
        <w:rPr>
          <w:sz w:val="22"/>
          <w:szCs w:val="22"/>
        </w:rPr>
        <w:tab/>
      </w:r>
    </w:p>
    <w:tbl>
      <w:tblPr>
        <w:tblStyle w:val="Tabela-Siatka"/>
        <w:tblW w:w="8215" w:type="dxa"/>
        <w:tblInd w:w="828" w:type="dxa"/>
        <w:tblLook w:val="01E0" w:firstRow="1" w:lastRow="1" w:firstColumn="1" w:lastColumn="1" w:noHBand="0" w:noVBand="0"/>
      </w:tblPr>
      <w:tblGrid>
        <w:gridCol w:w="2361"/>
        <w:gridCol w:w="1962"/>
        <w:gridCol w:w="1946"/>
        <w:gridCol w:w="1946"/>
      </w:tblGrid>
      <w:tr w:rsidR="006A4DBD" w:rsidRPr="004C6500" w:rsidTr="00B911F3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4C6500">
              <w:rPr>
                <w:b/>
                <w:sz w:val="22"/>
                <w:szCs w:val="22"/>
              </w:rPr>
              <w:t>Grupa wiekowa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</w:t>
            </w:r>
            <w:r w:rsidRPr="004C6500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Pr="004C6500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4C6500">
              <w:rPr>
                <w:b/>
                <w:sz w:val="22"/>
                <w:szCs w:val="22"/>
              </w:rPr>
              <w:t>Różnica</w:t>
            </w:r>
          </w:p>
        </w:tc>
      </w:tr>
      <w:tr w:rsidR="006A4DBD" w:rsidRPr="004C6500" w:rsidTr="00B911F3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do lat 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</w:t>
            </w:r>
          </w:p>
        </w:tc>
      </w:tr>
      <w:tr w:rsidR="006A4DBD" w:rsidRPr="004C6500" w:rsidTr="00B911F3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6 - 12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</w:t>
            </w:r>
          </w:p>
        </w:tc>
      </w:tr>
      <w:tr w:rsidR="006A4DBD" w:rsidRPr="004C6500" w:rsidTr="00B911F3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13 - 15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-54</w:t>
            </w:r>
          </w:p>
        </w:tc>
      </w:tr>
      <w:tr w:rsidR="006A4DBD" w:rsidRPr="004C6500" w:rsidTr="00B911F3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16 - 19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</w:t>
            </w:r>
          </w:p>
        </w:tc>
      </w:tr>
      <w:tr w:rsidR="006A4DBD" w:rsidRPr="004C6500" w:rsidTr="00B911F3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20 - 24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+35</w:t>
            </w:r>
          </w:p>
        </w:tc>
      </w:tr>
      <w:tr w:rsidR="006A4DBD" w:rsidRPr="004C6500" w:rsidTr="00B911F3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25 - 44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</w:t>
            </w:r>
          </w:p>
        </w:tc>
      </w:tr>
      <w:tr w:rsidR="006A4DBD" w:rsidRPr="004C6500" w:rsidTr="00B911F3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45 - 60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</w:t>
            </w:r>
          </w:p>
        </w:tc>
      </w:tr>
      <w:tr w:rsidR="006A4DBD" w:rsidRPr="004C6500" w:rsidTr="00B911F3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powyżej 60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</w:tr>
      <w:tr w:rsidR="006A4DBD" w:rsidRPr="004C6500" w:rsidTr="00B911F3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b/>
                <w:sz w:val="22"/>
                <w:szCs w:val="22"/>
              </w:rPr>
            </w:pPr>
            <w:r w:rsidRPr="004C6500">
              <w:rPr>
                <w:b/>
                <w:sz w:val="22"/>
                <w:szCs w:val="22"/>
              </w:rPr>
              <w:t>Ogółem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-76</w:t>
            </w:r>
          </w:p>
        </w:tc>
      </w:tr>
    </w:tbl>
    <w:p w:rsidR="006A4DBD" w:rsidRPr="004C6500" w:rsidRDefault="006A4DBD" w:rsidP="006A4DBD">
      <w:pPr>
        <w:tabs>
          <w:tab w:val="left" w:pos="3060"/>
        </w:tabs>
        <w:spacing w:line="312" w:lineRule="auto"/>
        <w:jc w:val="both"/>
        <w:rPr>
          <w:sz w:val="22"/>
          <w:szCs w:val="22"/>
        </w:rPr>
      </w:pP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Zestawienie za dwa ostatnie lata struktury czytelników wg zajęcia obrazuje poniższa tabela:</w:t>
      </w:r>
    </w:p>
    <w:p w:rsidR="006A4DBD" w:rsidRPr="004C6500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 w:rsidRPr="004C6500">
        <w:rPr>
          <w:sz w:val="22"/>
          <w:szCs w:val="22"/>
        </w:rPr>
        <w:tab/>
      </w:r>
    </w:p>
    <w:tbl>
      <w:tblPr>
        <w:tblStyle w:val="Tabela-Siatka"/>
        <w:tblW w:w="8267" w:type="dxa"/>
        <w:tblInd w:w="828" w:type="dxa"/>
        <w:tblLook w:val="01E0" w:firstRow="1" w:lastRow="1" w:firstColumn="1" w:lastColumn="1" w:noHBand="0" w:noVBand="0"/>
      </w:tblPr>
      <w:tblGrid>
        <w:gridCol w:w="2470"/>
        <w:gridCol w:w="1913"/>
        <w:gridCol w:w="1942"/>
        <w:gridCol w:w="1942"/>
      </w:tblGrid>
      <w:tr w:rsidR="006A4DBD" w:rsidRPr="004C6500" w:rsidTr="00B911F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4C6500">
              <w:rPr>
                <w:b/>
                <w:sz w:val="22"/>
                <w:szCs w:val="22"/>
              </w:rPr>
              <w:t>Zajęcie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</w:t>
            </w:r>
            <w:r w:rsidRPr="004C6500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Pr="004C6500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4C6500">
              <w:rPr>
                <w:b/>
                <w:sz w:val="22"/>
                <w:szCs w:val="22"/>
              </w:rPr>
              <w:t>Różnica</w:t>
            </w:r>
          </w:p>
        </w:tc>
      </w:tr>
      <w:tr w:rsidR="006A4DBD" w:rsidRPr="00C423D5" w:rsidTr="00B911F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uczniowie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602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17670C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17670C">
              <w:rPr>
                <w:sz w:val="22"/>
                <w:szCs w:val="22"/>
              </w:rPr>
              <w:t>-43</w:t>
            </w:r>
          </w:p>
        </w:tc>
      </w:tr>
      <w:tr w:rsidR="006A4DBD" w:rsidRPr="00C423D5" w:rsidTr="00B911F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studenci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143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17670C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</w:tr>
      <w:tr w:rsidR="006A4DBD" w:rsidRPr="00C423D5" w:rsidTr="00B911F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pracownicy umysłowi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396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17670C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</w:tr>
      <w:tr w:rsidR="006A4DBD" w:rsidRPr="00C423D5" w:rsidTr="00B911F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robotnicy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230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17670C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</w:t>
            </w:r>
          </w:p>
        </w:tc>
      </w:tr>
      <w:tr w:rsidR="006A4DBD" w:rsidRPr="00C423D5" w:rsidTr="00B911F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rolnicy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17670C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4DBD" w:rsidRPr="00C423D5" w:rsidTr="00B911F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inni zatrudnieni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60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17670C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</w:t>
            </w:r>
          </w:p>
        </w:tc>
      </w:tr>
      <w:tr w:rsidR="006A4DBD" w:rsidRPr="00C423D5" w:rsidTr="00B911F3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pozostali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C423D5">
              <w:rPr>
                <w:sz w:val="22"/>
                <w:szCs w:val="22"/>
              </w:rPr>
              <w:t>418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C423D5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17670C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</w:t>
            </w:r>
          </w:p>
        </w:tc>
      </w:tr>
    </w:tbl>
    <w:p w:rsidR="006A4DBD" w:rsidRPr="00C423D5" w:rsidRDefault="006A4DBD" w:rsidP="006A4DBD">
      <w:pPr>
        <w:spacing w:line="312" w:lineRule="auto"/>
        <w:ind w:left="705"/>
        <w:jc w:val="both"/>
        <w:rPr>
          <w:sz w:val="22"/>
          <w:szCs w:val="22"/>
          <w:u w:val="single"/>
        </w:rPr>
      </w:pP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Czyteln</w:t>
      </w:r>
      <w:r>
        <w:rPr>
          <w:sz w:val="22"/>
          <w:szCs w:val="22"/>
        </w:rPr>
        <w:t>icy odwiedzili Bibliotekę 17 718 razy i wypożyczyli 34 120</w:t>
      </w:r>
      <w:r w:rsidRPr="004C6500">
        <w:rPr>
          <w:sz w:val="22"/>
          <w:szCs w:val="22"/>
        </w:rPr>
        <w:t xml:space="preserve"> pozycji książkowych. Nastą</w:t>
      </w:r>
      <w:r>
        <w:rPr>
          <w:sz w:val="22"/>
          <w:szCs w:val="22"/>
        </w:rPr>
        <w:t>pił zatem wzrost odwiedzin (+69) przy jednoczesnym spadku</w:t>
      </w:r>
      <w:r w:rsidR="00067D39">
        <w:rPr>
          <w:sz w:val="22"/>
          <w:szCs w:val="22"/>
        </w:rPr>
        <w:t xml:space="preserve"> </w:t>
      </w:r>
      <w:r w:rsidRPr="004C6500">
        <w:rPr>
          <w:sz w:val="22"/>
          <w:szCs w:val="22"/>
        </w:rPr>
        <w:t>wypożyczeń</w:t>
      </w:r>
      <w:r>
        <w:rPr>
          <w:sz w:val="22"/>
          <w:szCs w:val="22"/>
        </w:rPr>
        <w:t xml:space="preserve"> książek na zewnątrz (-5114 woluminów</w:t>
      </w:r>
      <w:r w:rsidRPr="004C6500">
        <w:rPr>
          <w:sz w:val="22"/>
          <w:szCs w:val="22"/>
        </w:rPr>
        <w:t>).</w:t>
      </w: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lastRenderedPageBreak/>
        <w:t>Zasięg czytelnictwa</w:t>
      </w:r>
      <w:r>
        <w:rPr>
          <w:sz w:val="22"/>
          <w:szCs w:val="22"/>
        </w:rPr>
        <w:t xml:space="preserve"> w Sławkowie utrzymuje się  na stałym poziomie i wynosi 25</w:t>
      </w:r>
      <w:r w:rsidRPr="004C6500">
        <w:rPr>
          <w:sz w:val="22"/>
          <w:szCs w:val="22"/>
        </w:rPr>
        <w:t xml:space="preserve"> czytelników w </w:t>
      </w:r>
      <w:r w:rsidR="00926900">
        <w:rPr>
          <w:sz w:val="22"/>
          <w:szCs w:val="22"/>
        </w:rPr>
        <w:t> </w:t>
      </w:r>
      <w:r w:rsidRPr="004C6500">
        <w:rPr>
          <w:sz w:val="22"/>
          <w:szCs w:val="22"/>
        </w:rPr>
        <w:t>p</w:t>
      </w:r>
      <w:r>
        <w:rPr>
          <w:sz w:val="22"/>
          <w:szCs w:val="22"/>
        </w:rPr>
        <w:t>rzeliczeniu na 100 mieszkańców ( w 2013 roku wskaźnik ten wynosił 26 czytelników).</w:t>
      </w:r>
    </w:p>
    <w:p w:rsidR="006A4DBD" w:rsidRPr="004C6500" w:rsidRDefault="006A4DBD" w:rsidP="006A4DBD">
      <w:pPr>
        <w:spacing w:line="312" w:lineRule="auto"/>
        <w:ind w:left="720" w:hanging="12"/>
        <w:jc w:val="both"/>
        <w:rPr>
          <w:sz w:val="22"/>
          <w:szCs w:val="22"/>
        </w:rPr>
      </w:pPr>
    </w:p>
    <w:p w:rsidR="006A4DBD" w:rsidRPr="004C6500" w:rsidRDefault="006A4DBD" w:rsidP="006A4DBD">
      <w:pPr>
        <w:tabs>
          <w:tab w:val="left" w:pos="4860"/>
        </w:tabs>
        <w:spacing w:line="312" w:lineRule="auto"/>
        <w:ind w:left="720" w:hanging="12"/>
        <w:jc w:val="both"/>
        <w:rPr>
          <w:sz w:val="22"/>
          <w:szCs w:val="22"/>
        </w:rPr>
      </w:pPr>
      <w:r w:rsidRPr="004C6500">
        <w:rPr>
          <w:noProof/>
          <w:sz w:val="22"/>
          <w:szCs w:val="22"/>
        </w:rPr>
        <w:drawing>
          <wp:inline distT="0" distB="0" distL="0" distR="0">
            <wp:extent cx="4877519" cy="1744486"/>
            <wp:effectExtent l="0" t="0" r="0" b="8255"/>
            <wp:docPr id="2" name="Wykr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A4DBD" w:rsidRPr="004C6500" w:rsidRDefault="006A4DBD" w:rsidP="006A4DBD">
      <w:pPr>
        <w:spacing w:line="312" w:lineRule="auto"/>
        <w:ind w:left="705"/>
        <w:jc w:val="both"/>
        <w:rPr>
          <w:sz w:val="22"/>
          <w:szCs w:val="22"/>
        </w:rPr>
      </w:pPr>
    </w:p>
    <w:p w:rsidR="006A4DBD" w:rsidRPr="00733D53" w:rsidRDefault="008013F3" w:rsidP="00733D53">
      <w:pPr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4.1 </w:t>
      </w:r>
      <w:r w:rsidR="006A4DBD" w:rsidRPr="00733D53">
        <w:rPr>
          <w:b/>
          <w:sz w:val="22"/>
          <w:szCs w:val="22"/>
        </w:rPr>
        <w:t xml:space="preserve">Wydarzenia kulturalne, edukacyjne i promocyjne: </w:t>
      </w:r>
    </w:p>
    <w:p w:rsidR="006A4DBD" w:rsidRPr="004C6500" w:rsidRDefault="006A4DBD" w:rsidP="006A4DBD">
      <w:pPr>
        <w:spacing w:line="312" w:lineRule="auto"/>
        <w:ind w:left="180"/>
        <w:jc w:val="both"/>
        <w:rPr>
          <w:sz w:val="22"/>
          <w:szCs w:val="22"/>
        </w:rPr>
      </w:pP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„Ukraina na żywo”</w:t>
      </w:r>
      <w:r w:rsidRPr="004C6500">
        <w:rPr>
          <w:sz w:val="22"/>
          <w:szCs w:val="22"/>
        </w:rPr>
        <w:t xml:space="preserve"> – spotkanie </w:t>
      </w:r>
      <w:r>
        <w:rPr>
          <w:sz w:val="22"/>
          <w:szCs w:val="22"/>
        </w:rPr>
        <w:t>z Panią Magdaleną Olszowiec, wolontariuszem pracującym na Ukrainie (24.02</w:t>
      </w:r>
      <w:r w:rsidRPr="004C6500">
        <w:rPr>
          <w:sz w:val="22"/>
          <w:szCs w:val="22"/>
        </w:rPr>
        <w:t>)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</w:p>
    <w:p w:rsidR="006A4DBD" w:rsidRDefault="006A4DBD" w:rsidP="00733D5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„Sławkowskie metamorfozy”</w:t>
      </w:r>
      <w:r>
        <w:rPr>
          <w:sz w:val="22"/>
          <w:szCs w:val="22"/>
        </w:rPr>
        <w:t xml:space="preserve"> – finał akcji  dla kobiet, połączony z obchodami Dania Kobiet (07.03</w:t>
      </w:r>
      <w:r w:rsidRPr="004C6500">
        <w:rPr>
          <w:sz w:val="22"/>
          <w:szCs w:val="22"/>
        </w:rPr>
        <w:t>)</w:t>
      </w:r>
    </w:p>
    <w:p w:rsidR="006A4DBD" w:rsidRDefault="006A4DBD" w:rsidP="006A4DBD">
      <w:pPr>
        <w:spacing w:line="312" w:lineRule="auto"/>
        <w:ind w:left="705"/>
        <w:jc w:val="both"/>
        <w:rPr>
          <w:sz w:val="22"/>
          <w:szCs w:val="22"/>
        </w:rPr>
      </w:pP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0C0DD5">
        <w:rPr>
          <w:sz w:val="22"/>
          <w:szCs w:val="22"/>
          <w:u w:val="single"/>
        </w:rPr>
        <w:t>Obchody Światowego Dnia Książki i Praw Autorskich</w:t>
      </w:r>
      <w:r>
        <w:rPr>
          <w:sz w:val="22"/>
          <w:szCs w:val="22"/>
        </w:rPr>
        <w:t xml:space="preserve"> – akcja „Podaruj książkę Bibliotece” (23.04)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</w:p>
    <w:p w:rsidR="006A4DBD" w:rsidRPr="004C6500" w:rsidRDefault="006A4DBD" w:rsidP="00733D5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  <w:u w:val="single"/>
        </w:rPr>
        <w:t>Spot</w:t>
      </w:r>
      <w:r>
        <w:rPr>
          <w:sz w:val="22"/>
          <w:szCs w:val="22"/>
          <w:u w:val="single"/>
        </w:rPr>
        <w:t>kanie z okazji 30 rocznicy odzyskania praw miejskich przez Sławków</w:t>
      </w:r>
      <w:r>
        <w:rPr>
          <w:sz w:val="22"/>
          <w:szCs w:val="22"/>
        </w:rPr>
        <w:t xml:space="preserve">  (24.04</w:t>
      </w:r>
      <w:r w:rsidRPr="004C6500">
        <w:rPr>
          <w:sz w:val="22"/>
          <w:szCs w:val="22"/>
        </w:rPr>
        <w:t>)</w:t>
      </w:r>
    </w:p>
    <w:p w:rsidR="006A4DBD" w:rsidRPr="007A1323" w:rsidRDefault="006A4DBD" w:rsidP="00733D53">
      <w:pPr>
        <w:pStyle w:val="Nagwek6"/>
        <w:spacing w:line="312" w:lineRule="auto"/>
        <w:jc w:val="both"/>
        <w:rPr>
          <w:b w:val="0"/>
        </w:rPr>
      </w:pPr>
      <w:r w:rsidRPr="00B223FF">
        <w:rPr>
          <w:b w:val="0"/>
          <w:sz w:val="22"/>
          <w:szCs w:val="22"/>
          <w:u w:val="single"/>
        </w:rPr>
        <w:t>O finansach… w bibliotece”</w:t>
      </w:r>
      <w:r w:rsidRPr="00775ED8">
        <w:rPr>
          <w:sz w:val="22"/>
          <w:szCs w:val="22"/>
        </w:rPr>
        <w:t xml:space="preserve"> – </w:t>
      </w:r>
      <w:r w:rsidRPr="008C10AB">
        <w:rPr>
          <w:b w:val="0"/>
          <w:sz w:val="22"/>
          <w:szCs w:val="22"/>
        </w:rPr>
        <w:t xml:space="preserve">projekt edukacji ekonomicznej i finansowej skierowany do osób 50+. W </w:t>
      </w:r>
      <w:r w:rsidR="00926900">
        <w:rPr>
          <w:b w:val="0"/>
          <w:sz w:val="22"/>
          <w:szCs w:val="22"/>
        </w:rPr>
        <w:t> </w:t>
      </w:r>
      <w:r w:rsidRPr="008C10AB">
        <w:rPr>
          <w:b w:val="0"/>
          <w:sz w:val="22"/>
          <w:szCs w:val="22"/>
        </w:rPr>
        <w:t xml:space="preserve">ramach projektu odbyły się dwa cykle szkoleń </w:t>
      </w:r>
      <w:r>
        <w:rPr>
          <w:b w:val="0"/>
          <w:sz w:val="22"/>
          <w:szCs w:val="22"/>
        </w:rPr>
        <w:t>(po 5 spotkań w czerwcu i lipcu</w:t>
      </w:r>
      <w:r w:rsidRPr="008C10AB">
        <w:rPr>
          <w:b w:val="0"/>
          <w:sz w:val="22"/>
          <w:szCs w:val="22"/>
        </w:rPr>
        <w:t>), w których udział wzięło</w:t>
      </w:r>
      <w:r>
        <w:rPr>
          <w:b w:val="0"/>
          <w:sz w:val="22"/>
          <w:szCs w:val="22"/>
        </w:rPr>
        <w:t xml:space="preserve"> 21 osób.</w:t>
      </w:r>
    </w:p>
    <w:p w:rsidR="00733D53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Przystanek Biblioteka</w:t>
      </w:r>
      <w:r w:rsidRPr="004C6500">
        <w:rPr>
          <w:sz w:val="22"/>
          <w:szCs w:val="22"/>
        </w:rPr>
        <w:t xml:space="preserve">, </w:t>
      </w:r>
      <w:r>
        <w:rPr>
          <w:sz w:val="22"/>
          <w:szCs w:val="22"/>
        </w:rPr>
        <w:t>happening zorganizowany podczas Dni</w:t>
      </w:r>
      <w:r w:rsidR="00733D53">
        <w:rPr>
          <w:sz w:val="22"/>
          <w:szCs w:val="22"/>
        </w:rPr>
        <w:t xml:space="preserve"> Sławkowa na sławkowskim Rynku,</w:t>
      </w:r>
    </w:p>
    <w:p w:rsidR="00733D53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>
        <w:rPr>
          <w:sz w:val="22"/>
          <w:szCs w:val="22"/>
        </w:rPr>
        <w:t>podczas którego odbył się kiermasz książek, gry i zabawy dla dziec</w:t>
      </w:r>
      <w:r w:rsidR="00733D53">
        <w:rPr>
          <w:sz w:val="22"/>
          <w:szCs w:val="22"/>
        </w:rPr>
        <w:t>i oraz wspólne czytanie książek</w:t>
      </w:r>
    </w:p>
    <w:p w:rsidR="006A4DBD" w:rsidRPr="004C6500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>
        <w:rPr>
          <w:sz w:val="22"/>
          <w:szCs w:val="22"/>
        </w:rPr>
        <w:t>(28.06</w:t>
      </w:r>
      <w:r w:rsidRPr="004C6500">
        <w:rPr>
          <w:sz w:val="22"/>
          <w:szCs w:val="22"/>
        </w:rPr>
        <w:t>)</w:t>
      </w:r>
    </w:p>
    <w:p w:rsidR="006A4DBD" w:rsidRPr="004C6500" w:rsidRDefault="006A4DBD" w:rsidP="006A4DBD">
      <w:pPr>
        <w:spacing w:line="312" w:lineRule="auto"/>
        <w:ind w:left="720" w:hanging="540"/>
        <w:jc w:val="both"/>
        <w:outlineLvl w:val="0"/>
        <w:rPr>
          <w:sz w:val="22"/>
          <w:szCs w:val="22"/>
        </w:rPr>
      </w:pPr>
    </w:p>
    <w:p w:rsidR="006A4DBD" w:rsidRPr="004C6500" w:rsidRDefault="006A4DBD" w:rsidP="006A4DBD">
      <w:pPr>
        <w:spacing w:line="312" w:lineRule="auto"/>
        <w:ind w:left="720" w:hanging="540"/>
        <w:jc w:val="both"/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Spotkanie autorskie z Panią Martą Fox</w:t>
      </w:r>
      <w:r>
        <w:rPr>
          <w:sz w:val="22"/>
          <w:szCs w:val="22"/>
        </w:rPr>
        <w:t xml:space="preserve">  (06.10)</w:t>
      </w:r>
    </w:p>
    <w:p w:rsidR="006A4DBD" w:rsidRPr="004C6500" w:rsidRDefault="006A4DBD" w:rsidP="006A4DBD">
      <w:pPr>
        <w:spacing w:line="312" w:lineRule="auto"/>
        <w:jc w:val="both"/>
        <w:outlineLvl w:val="0"/>
        <w:rPr>
          <w:sz w:val="22"/>
          <w:szCs w:val="22"/>
        </w:rPr>
      </w:pPr>
    </w:p>
    <w:p w:rsidR="00733D53" w:rsidRDefault="006A4DBD" w:rsidP="006A4DBD">
      <w:pPr>
        <w:spacing w:line="312" w:lineRule="auto"/>
        <w:ind w:left="720" w:hanging="540"/>
        <w:jc w:val="both"/>
        <w:outlineLvl w:val="0"/>
        <w:rPr>
          <w:sz w:val="22"/>
          <w:szCs w:val="22"/>
        </w:rPr>
      </w:pPr>
      <w:r>
        <w:rPr>
          <w:sz w:val="22"/>
          <w:szCs w:val="22"/>
          <w:u w:val="single"/>
        </w:rPr>
        <w:t>Tydzień edukacji globalnej</w:t>
      </w:r>
      <w:r>
        <w:rPr>
          <w:sz w:val="22"/>
          <w:szCs w:val="22"/>
        </w:rPr>
        <w:t xml:space="preserve"> – włączenie się w XVI edycję akcji pod patronatem Centrum Północ – </w:t>
      </w:r>
    </w:p>
    <w:p w:rsidR="00733D53" w:rsidRDefault="006A4DBD" w:rsidP="006A4DBD">
      <w:pPr>
        <w:spacing w:line="312" w:lineRule="auto"/>
        <w:ind w:left="720" w:hanging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Południe Rady Europy: promowanie i wypożyczanie literatury związanej z edukacją globalną, </w:t>
      </w:r>
    </w:p>
    <w:p w:rsidR="00733D53" w:rsidRDefault="006A4DBD" w:rsidP="006A4DBD">
      <w:pPr>
        <w:spacing w:line="312" w:lineRule="auto"/>
        <w:ind w:left="720" w:hanging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zorganizowanie „wymienialni książek”, wystawa tematyczna związana z zagadnieniami globalnymi</w:t>
      </w:r>
      <w:r w:rsidRPr="004C6500">
        <w:rPr>
          <w:sz w:val="22"/>
          <w:szCs w:val="22"/>
        </w:rPr>
        <w:t xml:space="preserve"> </w:t>
      </w:r>
    </w:p>
    <w:p w:rsidR="006A4DBD" w:rsidRPr="004C6500" w:rsidRDefault="006A4DBD" w:rsidP="006A4DBD">
      <w:pPr>
        <w:spacing w:line="312" w:lineRule="auto"/>
        <w:ind w:left="720" w:hanging="540"/>
        <w:jc w:val="both"/>
        <w:outlineLvl w:val="0"/>
        <w:rPr>
          <w:sz w:val="22"/>
          <w:szCs w:val="22"/>
        </w:rPr>
      </w:pPr>
      <w:r w:rsidRPr="004C6500">
        <w:rPr>
          <w:sz w:val="22"/>
          <w:szCs w:val="22"/>
        </w:rPr>
        <w:t>(01.07)</w:t>
      </w:r>
    </w:p>
    <w:p w:rsidR="006A4DBD" w:rsidRPr="004C6500" w:rsidRDefault="006A4DBD" w:rsidP="006A4DBD">
      <w:pPr>
        <w:spacing w:line="312" w:lineRule="auto"/>
        <w:jc w:val="both"/>
        <w:outlineLvl w:val="0"/>
        <w:rPr>
          <w:sz w:val="22"/>
          <w:szCs w:val="22"/>
        </w:rPr>
      </w:pPr>
    </w:p>
    <w:p w:rsidR="00733D53" w:rsidRDefault="006A4DBD" w:rsidP="006A4DBD">
      <w:pPr>
        <w:spacing w:line="312" w:lineRule="auto"/>
        <w:ind w:left="720" w:hanging="540"/>
        <w:jc w:val="both"/>
        <w:outlineLvl w:val="0"/>
        <w:rPr>
          <w:sz w:val="22"/>
          <w:szCs w:val="22"/>
        </w:rPr>
      </w:pPr>
      <w:r w:rsidRPr="004C6500">
        <w:rPr>
          <w:sz w:val="22"/>
          <w:szCs w:val="22"/>
        </w:rPr>
        <w:tab/>
      </w:r>
    </w:p>
    <w:p w:rsidR="00733D53" w:rsidRDefault="006A4DBD" w:rsidP="006A4DBD">
      <w:pPr>
        <w:spacing w:line="312" w:lineRule="auto"/>
        <w:ind w:left="720" w:hanging="540"/>
        <w:jc w:val="both"/>
        <w:outlineLvl w:val="0"/>
        <w:rPr>
          <w:sz w:val="22"/>
          <w:szCs w:val="22"/>
        </w:rPr>
      </w:pPr>
      <w:r w:rsidRPr="004C6500">
        <w:rPr>
          <w:sz w:val="22"/>
          <w:szCs w:val="22"/>
          <w:u w:val="single"/>
        </w:rPr>
        <w:t>Spotkania Dyskusyjnego Klubu Książki</w:t>
      </w:r>
      <w:r>
        <w:rPr>
          <w:sz w:val="22"/>
          <w:szCs w:val="22"/>
        </w:rPr>
        <w:t xml:space="preserve"> – w 2014 roku odbyło się 9</w:t>
      </w:r>
      <w:r w:rsidRPr="004C6500">
        <w:rPr>
          <w:sz w:val="22"/>
          <w:szCs w:val="22"/>
        </w:rPr>
        <w:t xml:space="preserve"> spotkań DKK</w:t>
      </w:r>
      <w:r>
        <w:rPr>
          <w:sz w:val="22"/>
          <w:szCs w:val="22"/>
        </w:rPr>
        <w:t>,</w:t>
      </w:r>
      <w:r w:rsidRPr="004C6500">
        <w:rPr>
          <w:sz w:val="22"/>
          <w:szCs w:val="22"/>
        </w:rPr>
        <w:t xml:space="preserve"> w któryc</w:t>
      </w:r>
      <w:r>
        <w:rPr>
          <w:sz w:val="22"/>
          <w:szCs w:val="22"/>
        </w:rPr>
        <w:t xml:space="preserve">h </w:t>
      </w:r>
    </w:p>
    <w:p w:rsidR="006A4DBD" w:rsidRPr="004C6500" w:rsidRDefault="006A4DBD" w:rsidP="006A4DBD">
      <w:pPr>
        <w:spacing w:line="312" w:lineRule="auto"/>
        <w:ind w:left="720" w:hanging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uczestniczyło średnio ośmiu</w:t>
      </w:r>
      <w:r w:rsidRPr="004C6500">
        <w:rPr>
          <w:sz w:val="22"/>
          <w:szCs w:val="22"/>
        </w:rPr>
        <w:t xml:space="preserve"> Klubowiczów. </w:t>
      </w:r>
      <w:r>
        <w:rPr>
          <w:sz w:val="22"/>
          <w:szCs w:val="22"/>
        </w:rPr>
        <w:t>Każde ze spotkań trwało  ponad dwie</w:t>
      </w:r>
      <w:r w:rsidRPr="004C6500">
        <w:rPr>
          <w:sz w:val="22"/>
          <w:szCs w:val="22"/>
        </w:rPr>
        <w:t xml:space="preserve"> godzin</w:t>
      </w:r>
      <w:r>
        <w:rPr>
          <w:sz w:val="22"/>
          <w:szCs w:val="22"/>
        </w:rPr>
        <w:t>y</w:t>
      </w:r>
      <w:r w:rsidRPr="004C6500">
        <w:rPr>
          <w:sz w:val="22"/>
          <w:szCs w:val="22"/>
        </w:rPr>
        <w:t>.</w:t>
      </w:r>
    </w:p>
    <w:p w:rsidR="00733D53" w:rsidRDefault="00733D53" w:rsidP="00733D53">
      <w:pPr>
        <w:spacing w:line="312" w:lineRule="auto"/>
        <w:jc w:val="both"/>
        <w:outlineLvl w:val="0"/>
        <w:rPr>
          <w:sz w:val="22"/>
          <w:szCs w:val="22"/>
        </w:rPr>
      </w:pPr>
    </w:p>
    <w:p w:rsidR="006A4DBD" w:rsidRPr="004C6500" w:rsidRDefault="006A4DBD" w:rsidP="00733D53">
      <w:pPr>
        <w:spacing w:line="312" w:lineRule="auto"/>
        <w:jc w:val="both"/>
        <w:outlineLvl w:val="0"/>
        <w:rPr>
          <w:sz w:val="22"/>
          <w:szCs w:val="22"/>
          <w:u w:val="single"/>
        </w:rPr>
      </w:pPr>
      <w:r w:rsidRPr="004C6500">
        <w:rPr>
          <w:sz w:val="22"/>
          <w:szCs w:val="22"/>
          <w:u w:val="single"/>
        </w:rPr>
        <w:lastRenderedPageBreak/>
        <w:t>Wystawy tematyczne:</w:t>
      </w:r>
    </w:p>
    <w:p w:rsidR="006A4DBD" w:rsidRPr="004C6500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C6500">
        <w:rPr>
          <w:sz w:val="22"/>
          <w:szCs w:val="22"/>
        </w:rPr>
        <w:t xml:space="preserve"> wystawa </w:t>
      </w:r>
      <w:r>
        <w:rPr>
          <w:sz w:val="22"/>
          <w:szCs w:val="22"/>
        </w:rPr>
        <w:t>haftów autorstwa Pani Eweliny Herman (07.03</w:t>
      </w:r>
      <w:r w:rsidRPr="004C6500">
        <w:rPr>
          <w:sz w:val="22"/>
          <w:szCs w:val="22"/>
        </w:rPr>
        <w:t>),</w:t>
      </w:r>
    </w:p>
    <w:p w:rsidR="00733D53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>
        <w:rPr>
          <w:sz w:val="22"/>
          <w:szCs w:val="22"/>
        </w:rPr>
        <w:t>- wystawa przedmiotów wykonanych z wikliny papierowej a</w:t>
      </w:r>
      <w:r w:rsidR="00733D53">
        <w:rPr>
          <w:sz w:val="22"/>
          <w:szCs w:val="22"/>
        </w:rPr>
        <w:t>utorstwa Pani Krystyny Celadyn-</w:t>
      </w:r>
    </w:p>
    <w:p w:rsidR="006A4DBD" w:rsidRPr="004C6500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>
        <w:rPr>
          <w:sz w:val="22"/>
          <w:szCs w:val="22"/>
        </w:rPr>
        <w:t>Głogowskiej oraz Pani Urszuli Gnoińskiej (08</w:t>
      </w:r>
      <w:r w:rsidRPr="004C6500">
        <w:rPr>
          <w:sz w:val="22"/>
          <w:szCs w:val="22"/>
        </w:rPr>
        <w:t>.04)</w:t>
      </w:r>
    </w:p>
    <w:p w:rsidR="00733D53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>
        <w:rPr>
          <w:sz w:val="22"/>
          <w:szCs w:val="22"/>
        </w:rPr>
        <w:t>- „Sławni - bibliotekarzami</w:t>
      </w:r>
      <w:r w:rsidRPr="004C6500">
        <w:rPr>
          <w:sz w:val="22"/>
          <w:szCs w:val="22"/>
        </w:rPr>
        <w:t>” – wystawa zorganizowana z okaz</w:t>
      </w:r>
      <w:r w:rsidR="00733D53">
        <w:rPr>
          <w:sz w:val="22"/>
          <w:szCs w:val="22"/>
        </w:rPr>
        <w:t>ji obchodów Światowego Dnia</w:t>
      </w:r>
    </w:p>
    <w:p w:rsidR="006A4DBD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>
        <w:rPr>
          <w:sz w:val="22"/>
          <w:szCs w:val="22"/>
        </w:rPr>
        <w:t>Książki i Praw Autorskich (23.04</w:t>
      </w:r>
      <w:r w:rsidRPr="004C6500">
        <w:rPr>
          <w:sz w:val="22"/>
          <w:szCs w:val="22"/>
        </w:rPr>
        <w:t>)</w:t>
      </w:r>
    </w:p>
    <w:p w:rsidR="006A4DBD" w:rsidRDefault="006A4DBD" w:rsidP="00733D53">
      <w:pPr>
        <w:spacing w:line="312" w:lineRule="auto"/>
        <w:ind w:left="720" w:hanging="540"/>
        <w:jc w:val="both"/>
        <w:rPr>
          <w:sz w:val="22"/>
          <w:szCs w:val="22"/>
        </w:rPr>
      </w:pPr>
      <w:r>
        <w:rPr>
          <w:sz w:val="22"/>
          <w:szCs w:val="22"/>
        </w:rPr>
        <w:t>- wernisaż malarstwa Pani Adriany Laube, Iwony Walas oraz Moniki Styż (13.06)</w:t>
      </w:r>
    </w:p>
    <w:p w:rsidR="006A4DBD" w:rsidRPr="004C6500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>
        <w:rPr>
          <w:sz w:val="22"/>
          <w:szCs w:val="22"/>
        </w:rPr>
        <w:t>- wystawa „strasznych książek”, zorganizowana z okazji Halloween (31.10)</w:t>
      </w:r>
    </w:p>
    <w:p w:rsidR="006A4DBD" w:rsidRPr="004C6500" w:rsidRDefault="006A4DBD" w:rsidP="006A4DBD">
      <w:pPr>
        <w:spacing w:line="312" w:lineRule="auto"/>
        <w:ind w:left="720" w:hanging="540"/>
        <w:jc w:val="both"/>
        <w:rPr>
          <w:sz w:val="22"/>
          <w:szCs w:val="22"/>
        </w:rPr>
      </w:pPr>
      <w:r w:rsidRPr="004C6500">
        <w:rPr>
          <w:sz w:val="22"/>
          <w:szCs w:val="22"/>
        </w:rPr>
        <w:tab/>
      </w:r>
    </w:p>
    <w:p w:rsidR="006A4DBD" w:rsidRPr="00733D53" w:rsidRDefault="008013F3" w:rsidP="006A4DBD">
      <w:pPr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4.2 </w:t>
      </w:r>
      <w:r w:rsidR="006A4DBD" w:rsidRPr="00733D53">
        <w:rPr>
          <w:b/>
          <w:sz w:val="22"/>
          <w:szCs w:val="22"/>
        </w:rPr>
        <w:t xml:space="preserve">Czytelnictwo dzieci i młodzieży w 2014 roku przedstawia się następująco: </w:t>
      </w:r>
    </w:p>
    <w:p w:rsidR="006A4DBD" w:rsidRPr="00733D53" w:rsidRDefault="006A4DBD" w:rsidP="006A4DBD">
      <w:pPr>
        <w:spacing w:line="312" w:lineRule="auto"/>
        <w:ind w:left="180"/>
        <w:jc w:val="both"/>
        <w:rPr>
          <w:b/>
          <w:sz w:val="22"/>
          <w:szCs w:val="22"/>
        </w:rPr>
      </w:pPr>
    </w:p>
    <w:tbl>
      <w:tblPr>
        <w:tblStyle w:val="Tabela-Siatka"/>
        <w:tblW w:w="7560" w:type="dxa"/>
        <w:tblInd w:w="828" w:type="dxa"/>
        <w:tblLook w:val="01E0" w:firstRow="1" w:lastRow="1" w:firstColumn="1" w:lastColumn="1" w:noHBand="0" w:noVBand="0"/>
      </w:tblPr>
      <w:tblGrid>
        <w:gridCol w:w="2700"/>
        <w:gridCol w:w="1620"/>
        <w:gridCol w:w="1620"/>
        <w:gridCol w:w="1620"/>
      </w:tblGrid>
      <w:tr w:rsidR="006A4DBD" w:rsidRPr="004C6500" w:rsidTr="00B911F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ind w:left="720" w:hanging="720"/>
              <w:jc w:val="center"/>
              <w:rPr>
                <w:b/>
                <w:sz w:val="22"/>
                <w:szCs w:val="22"/>
              </w:rPr>
            </w:pPr>
            <w:r w:rsidRPr="004C6500">
              <w:rPr>
                <w:b/>
                <w:sz w:val="22"/>
                <w:szCs w:val="22"/>
              </w:rPr>
              <w:t>Wiek w latach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</w:t>
            </w:r>
            <w:r w:rsidRPr="004C6500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Pr="004C6500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4C6500">
              <w:rPr>
                <w:b/>
                <w:sz w:val="22"/>
                <w:szCs w:val="22"/>
              </w:rPr>
              <w:t>Różnica</w:t>
            </w:r>
          </w:p>
        </w:tc>
      </w:tr>
      <w:tr w:rsidR="006A4DBD" w:rsidRPr="004C6500" w:rsidTr="00B911F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do 5 lat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</w:t>
            </w:r>
          </w:p>
        </w:tc>
      </w:tr>
      <w:tr w:rsidR="006A4DBD" w:rsidRPr="004C6500" w:rsidTr="00B911F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6 – 12 lat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</w:t>
            </w:r>
          </w:p>
        </w:tc>
      </w:tr>
      <w:tr w:rsidR="006A4DBD" w:rsidRPr="004C6500" w:rsidTr="00B911F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13 – 15 lat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-54</w:t>
            </w:r>
          </w:p>
        </w:tc>
      </w:tr>
      <w:tr w:rsidR="006A4DBD" w:rsidRPr="004C6500" w:rsidTr="00B911F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16-19 lat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4C650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</w:t>
            </w:r>
          </w:p>
        </w:tc>
      </w:tr>
      <w:tr w:rsidR="006A4DBD" w:rsidRPr="004C6500" w:rsidTr="00B911F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4C6500">
              <w:rPr>
                <w:b/>
                <w:sz w:val="22"/>
                <w:szCs w:val="22"/>
              </w:rPr>
              <w:t>Ogółem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D" w:rsidRPr="004C6500" w:rsidRDefault="006A4DBD" w:rsidP="00B911F3">
            <w:pPr>
              <w:spacing w:line="31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-86</w:t>
            </w:r>
          </w:p>
        </w:tc>
      </w:tr>
    </w:tbl>
    <w:p w:rsidR="006A4DBD" w:rsidRPr="004C6500" w:rsidRDefault="006A4DBD" w:rsidP="006A4DBD">
      <w:pPr>
        <w:spacing w:line="312" w:lineRule="auto"/>
        <w:jc w:val="both"/>
        <w:rPr>
          <w:b/>
          <w:sz w:val="22"/>
          <w:szCs w:val="22"/>
        </w:rPr>
      </w:pPr>
    </w:p>
    <w:p w:rsidR="006A4DBD" w:rsidRDefault="006A4DBD" w:rsidP="00733D53">
      <w:pPr>
        <w:pStyle w:val="NormalnyWeb"/>
        <w:shd w:val="clear" w:color="auto" w:fill="FFFFFF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 2014 roku sławkowska Biblioteka odnotowała spadek czytelnictwa</w:t>
      </w:r>
      <w:r w:rsidRPr="004C6500">
        <w:rPr>
          <w:sz w:val="22"/>
          <w:szCs w:val="22"/>
        </w:rPr>
        <w:t xml:space="preserve"> dzieci i młod</w:t>
      </w:r>
      <w:r>
        <w:rPr>
          <w:sz w:val="22"/>
          <w:szCs w:val="22"/>
        </w:rPr>
        <w:t>zieży</w:t>
      </w:r>
      <w:r w:rsidRPr="004C6500">
        <w:rPr>
          <w:sz w:val="22"/>
          <w:szCs w:val="22"/>
        </w:rPr>
        <w:t xml:space="preserve">. Dzieci i </w:t>
      </w:r>
      <w:r w:rsidR="00926900">
        <w:rPr>
          <w:sz w:val="22"/>
          <w:szCs w:val="22"/>
        </w:rPr>
        <w:t> </w:t>
      </w:r>
      <w:r w:rsidRPr="004C6500">
        <w:rPr>
          <w:sz w:val="22"/>
          <w:szCs w:val="22"/>
        </w:rPr>
        <w:t xml:space="preserve">młodzież stanowią </w:t>
      </w:r>
      <w:r>
        <w:rPr>
          <w:sz w:val="22"/>
          <w:szCs w:val="22"/>
        </w:rPr>
        <w:t>35%</w:t>
      </w:r>
      <w:r w:rsidRPr="004C6500">
        <w:rPr>
          <w:sz w:val="22"/>
          <w:szCs w:val="22"/>
        </w:rPr>
        <w:t xml:space="preserve"> ogółu sławkowskich czytelników</w:t>
      </w:r>
      <w:r>
        <w:rPr>
          <w:sz w:val="22"/>
          <w:szCs w:val="22"/>
        </w:rPr>
        <w:t xml:space="preserve"> (w 2013 roku odsetek ten wynosił 38%). W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2014 roku oferta skierowana do dzieci i młodzieży została rozszerzona o nowe formy pracy, wybiegające poza bieżącą działalność Biblioteki. Na realizację zaplanowanych projektów pozyskano środki zewnętrzne.</w:t>
      </w:r>
    </w:p>
    <w:p w:rsidR="006A4DBD" w:rsidRDefault="006A4DBD" w:rsidP="00733D53">
      <w:pPr>
        <w:pStyle w:val="NormalnyWeb"/>
        <w:shd w:val="clear" w:color="auto" w:fill="FFFFFF"/>
        <w:spacing w:line="312" w:lineRule="auto"/>
        <w:jc w:val="both"/>
        <w:rPr>
          <w:sz w:val="22"/>
          <w:szCs w:val="22"/>
        </w:rPr>
      </w:pPr>
      <w:r w:rsidRPr="007A1323">
        <w:rPr>
          <w:b/>
          <w:sz w:val="22"/>
          <w:szCs w:val="22"/>
        </w:rPr>
        <w:t>Projekt „Hobby studio”</w:t>
      </w:r>
      <w:r>
        <w:rPr>
          <w:sz w:val="22"/>
          <w:szCs w:val="22"/>
        </w:rPr>
        <w:t xml:space="preserve"> to cykl warsztatów i spotkań dla młodzieży w wieku od 13 do 18 lat, który był odpowiedzią na ich</w:t>
      </w:r>
      <w:r w:rsidR="00C974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(wcześniej zdiagnozowane) potrzeby i zainteresowania. W ramach projektu odbyły się różnorodne warsztaty artystyczne, informatyczne oraz spotkania poświęcone modzie, sztuce wizażu i pielęgnacji urody. Młodzież pogłębiała swoje zainteresowania i poszerzała umiejętności  artystyczne, które objęły zajęcia z malarstwa, rysunku, grafiki, rzeźby oraz decoupage. Podczas zajęć młodzi ludzie mieli możliwość zmierzenia się z dotychczas nieznanymi formami ekspresji artystycznej, jaką jest sztuka użytkowa. Obejmowała ona projektowanie i wykonanie nadruku na koszulce i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płóciennych torbach techniką linorytu oraz sztukę decoupage.  Pasjonaci informatyki doskonalili umiejętności z zakresu tworzenia stron internetowych i grafiki komputerowej. Nowo nabytą wiedzę mogli zastosować w praktyce współtworząc stronę internetową projektu (</w:t>
      </w:r>
      <w:hyperlink r:id="rId9" w:history="1">
        <w:r w:rsidRPr="008947A7">
          <w:rPr>
            <w:rStyle w:val="Hipercze"/>
            <w:sz w:val="22"/>
            <w:szCs w:val="22"/>
          </w:rPr>
          <w:t>http://mbp.slawkow.pl/projekt</w:t>
        </w:r>
      </w:hyperlink>
      <w:r>
        <w:rPr>
          <w:sz w:val="22"/>
          <w:szCs w:val="22"/>
        </w:rPr>
        <w:t xml:space="preserve">).„Bądź trendy” to blok tematyczny skierowany do dziewcząt. Obejmował on spotkania ze stylistą-blogerem, wizażystką oraz kosmetologiem. Ogółem w projekcie udział wzięły 92 osoby. W ramach projektu odbyło się 17 spotkań, które trwałyod16.05.2014r. do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08.10.2014r.</w:t>
      </w:r>
    </w:p>
    <w:p w:rsidR="006A4DBD" w:rsidRPr="002C239D" w:rsidRDefault="006A4DBD" w:rsidP="00733D53">
      <w:pPr>
        <w:pStyle w:val="NormalnyWeb"/>
        <w:shd w:val="clear" w:color="auto" w:fill="FFFFFF"/>
        <w:spacing w:line="312" w:lineRule="auto"/>
        <w:jc w:val="both"/>
        <w:rPr>
          <w:sz w:val="22"/>
          <w:szCs w:val="22"/>
        </w:rPr>
      </w:pPr>
      <w:r w:rsidRPr="007A1323">
        <w:rPr>
          <w:b/>
          <w:sz w:val="22"/>
          <w:szCs w:val="22"/>
        </w:rPr>
        <w:t>Projekt „Inkubator Aktywnych Rodziców”</w:t>
      </w:r>
      <w:r w:rsidR="008013F3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skierowany był do kobiet w ciąż</w:t>
      </w:r>
      <w:r w:rsidRPr="002C239D">
        <w:rPr>
          <w:sz w:val="22"/>
          <w:szCs w:val="22"/>
        </w:rPr>
        <w:t>y i rodziców małych dzieci (0-3 lata). Celem projektu było zainicjowanie w Bibliotece klubu rodzica</w:t>
      </w:r>
      <w:r w:rsidRPr="002C239D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w którym rodzice</w:t>
      </w:r>
      <w:r w:rsidRPr="002C239D">
        <w:rPr>
          <w:sz w:val="22"/>
          <w:szCs w:val="22"/>
        </w:rPr>
        <w:t xml:space="preserve"> wspólnie podejmowali</w:t>
      </w:r>
      <w:r>
        <w:rPr>
          <w:sz w:val="22"/>
          <w:szCs w:val="22"/>
        </w:rPr>
        <w:t xml:space="preserve"> decyzje</w:t>
      </w:r>
      <w:r w:rsidRPr="002C239D">
        <w:rPr>
          <w:sz w:val="22"/>
          <w:szCs w:val="22"/>
        </w:rPr>
        <w:t xml:space="preserve"> o jego działaniach. </w:t>
      </w:r>
      <w:r>
        <w:rPr>
          <w:sz w:val="22"/>
          <w:szCs w:val="22"/>
        </w:rPr>
        <w:t xml:space="preserve">W ramach projektu odbyło się 12 spotkań </w:t>
      </w:r>
      <w:r>
        <w:rPr>
          <w:sz w:val="22"/>
          <w:szCs w:val="22"/>
        </w:rPr>
        <w:lastRenderedPageBreak/>
        <w:t xml:space="preserve">o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 xml:space="preserve">różnorodnej tematyce, np. „Bank miejsc” – tworzenie mapy miejsc przyjaznych rodzicom z dziećmi, „Psociarnia” – wspólna zabawa z animatorem, „Kreatywny maluch” – warsztaty z pedagogiki zabawy, dziecięca sesja fotograficzna oraz spotkania z dietetykiem, prawnikiem, logopedą oraz psychologiem dziecięcym. W ramach projektu odbyły się także dwa spektakle interaktywne dla dzieci. Ogółem w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projekcie udział wzięło 247 osób.</w:t>
      </w:r>
    </w:p>
    <w:p w:rsidR="00926900" w:rsidRDefault="006A4DBD" w:rsidP="00926900">
      <w:pPr>
        <w:spacing w:line="312" w:lineRule="auto"/>
        <w:ind w:left="705" w:hanging="705"/>
        <w:jc w:val="both"/>
        <w:rPr>
          <w:color w:val="000000"/>
          <w:sz w:val="22"/>
          <w:szCs w:val="22"/>
        </w:rPr>
      </w:pPr>
      <w:r w:rsidRPr="004C6500">
        <w:rPr>
          <w:color w:val="000000"/>
          <w:sz w:val="22"/>
          <w:szCs w:val="22"/>
        </w:rPr>
        <w:t>W trosce o edukację czytelniczą dzieci i młodzieży Biblioteka wy</w:t>
      </w:r>
      <w:r w:rsidR="00733D53">
        <w:rPr>
          <w:color w:val="000000"/>
          <w:sz w:val="22"/>
          <w:szCs w:val="22"/>
        </w:rPr>
        <w:t xml:space="preserve">chodzi ze swoimi działaniami na  </w:t>
      </w:r>
    </w:p>
    <w:p w:rsidR="00733D53" w:rsidRDefault="006A4DBD" w:rsidP="00926900">
      <w:pPr>
        <w:spacing w:line="312" w:lineRule="auto"/>
        <w:ind w:left="705" w:hanging="705"/>
        <w:jc w:val="both"/>
        <w:rPr>
          <w:color w:val="000000"/>
          <w:sz w:val="22"/>
          <w:szCs w:val="22"/>
        </w:rPr>
      </w:pPr>
      <w:r w:rsidRPr="004C6500">
        <w:rPr>
          <w:color w:val="000000"/>
          <w:sz w:val="22"/>
          <w:szCs w:val="22"/>
        </w:rPr>
        <w:t>zewnątrz, współdziałając z innymi inst</w:t>
      </w:r>
      <w:r>
        <w:rPr>
          <w:color w:val="000000"/>
          <w:sz w:val="22"/>
          <w:szCs w:val="22"/>
        </w:rPr>
        <w:t>ytucjami o charakterze edukacyjno</w:t>
      </w:r>
      <w:r w:rsidRPr="004C6500">
        <w:rPr>
          <w:color w:val="000000"/>
          <w:sz w:val="22"/>
          <w:szCs w:val="22"/>
        </w:rPr>
        <w:t xml:space="preserve">-kulturalnym oraz z </w:t>
      </w:r>
    </w:p>
    <w:p w:rsidR="008013F3" w:rsidRDefault="006A4DBD" w:rsidP="00926900">
      <w:pPr>
        <w:spacing w:line="312" w:lineRule="auto"/>
        <w:jc w:val="both"/>
        <w:rPr>
          <w:sz w:val="22"/>
          <w:szCs w:val="22"/>
        </w:rPr>
      </w:pPr>
      <w:r w:rsidRPr="004C6500">
        <w:rPr>
          <w:color w:val="000000"/>
          <w:sz w:val="22"/>
          <w:szCs w:val="22"/>
        </w:rPr>
        <w:t>rodzicami.</w:t>
      </w:r>
      <w:r w:rsidR="00733D53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23 czerwca 2014 roku Biblioteka podpisała porozumienie o współpracy partnerskiej </w:t>
      </w:r>
      <w:r w:rsidR="00733D53">
        <w:rPr>
          <w:sz w:val="22"/>
          <w:szCs w:val="22"/>
        </w:rPr>
        <w:t>na</w:t>
      </w:r>
    </w:p>
    <w:p w:rsidR="008013F3" w:rsidRDefault="00733D53" w:rsidP="00733D53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4DBD">
        <w:rPr>
          <w:sz w:val="22"/>
          <w:szCs w:val="22"/>
        </w:rPr>
        <w:t>rzecz rozwoju czytelnictwa i edukacji kulturalnej dzieci i młodzieży na t</w:t>
      </w:r>
      <w:r w:rsidR="008013F3">
        <w:rPr>
          <w:sz w:val="22"/>
          <w:szCs w:val="22"/>
        </w:rPr>
        <w:t>erenie gminy Sławków.</w:t>
      </w:r>
    </w:p>
    <w:p w:rsidR="008013F3" w:rsidRDefault="006A4DBD" w:rsidP="00733D53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Oprócz MBP porozumienie podpisali: Szkoła Podstawowa im. Jana Baranowskiego, Zespół Szkół im. </w:t>
      </w:r>
    </w:p>
    <w:p w:rsidR="008013F3" w:rsidRDefault="006A4DBD" w:rsidP="00733D53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Jana Pawła II, Przedszkole Miejskie w Sławkowie, Niepubliczne Przedszkole Sportowo-Językowe </w:t>
      </w:r>
    </w:p>
    <w:p w:rsidR="008013F3" w:rsidRDefault="006A4DBD" w:rsidP="00733D53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„Akademia Jasia i Małgosi”, Miejski Ośrodek Pomocy Społecznej w Sławkowie, Ośrodek Wspierania </w:t>
      </w:r>
    </w:p>
    <w:p w:rsidR="006A4DBD" w:rsidRPr="00733D53" w:rsidRDefault="006A4DBD" w:rsidP="00733D53">
      <w:pPr>
        <w:spacing w:line="312" w:lineRule="auto"/>
        <w:ind w:left="705" w:hanging="70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Dzieci i Rodziny w Będzinie, Miejski Ośrodek Kultury w Sławkowie oraz Firma „MARLESZ”. </w:t>
      </w: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 xml:space="preserve">Od wielu lat Biblioteka prowadzi współpracę z Przedszkolem Miejskim w Sławkowie. Najmłodsi sławkowianie często odwiedzają Bibliotekę, uczestnicząc w cyklicznych spotkaniach, podczas których zwiedzają bibliotekę i poznają </w:t>
      </w:r>
      <w:r>
        <w:rPr>
          <w:sz w:val="22"/>
          <w:szCs w:val="22"/>
        </w:rPr>
        <w:t xml:space="preserve">jej </w:t>
      </w:r>
      <w:r w:rsidRPr="004C6500">
        <w:rPr>
          <w:sz w:val="22"/>
          <w:szCs w:val="22"/>
        </w:rPr>
        <w:t>ofertę, słuchają czytanych książek oraz uczestniczą w różnorodnych imprezach czytelniczych (Międzynarodowy Dzień Pluszowego Misia, Dzień Postaci z Bajek, Ogólnopolski Tydzień Czytania Dzieciom, spotkania autorskie, teatrzyki, zajęcia plastyczne itp.).</w:t>
      </w: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 xml:space="preserve">Cennymi partnerami są dla Biblioteki placówki oświatowe: Szkoła Podstawowa oraz Zespół Szkół w </w:t>
      </w:r>
      <w:r w:rsidR="00926900">
        <w:rPr>
          <w:sz w:val="22"/>
          <w:szCs w:val="22"/>
        </w:rPr>
        <w:t> </w:t>
      </w:r>
      <w:r w:rsidRPr="004C6500">
        <w:rPr>
          <w:sz w:val="22"/>
          <w:szCs w:val="22"/>
        </w:rPr>
        <w:t>Sławkowie. We współpracy ze szkołami organizowane są spotkania autorskie, lekcje b</w:t>
      </w:r>
      <w:r>
        <w:rPr>
          <w:sz w:val="22"/>
          <w:szCs w:val="22"/>
        </w:rPr>
        <w:t>iblioteczne</w:t>
      </w:r>
      <w:r w:rsidRPr="004C6500">
        <w:rPr>
          <w:sz w:val="22"/>
          <w:szCs w:val="22"/>
        </w:rPr>
        <w:t xml:space="preserve">, Noc z Andersenem, konkursy. </w:t>
      </w: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Regionalny Konkurs Recytatorski dla uczniów szkół podstawowych i gimnazjalnych to przedsięwzięcie organizowane wspólnie z Miejskim Ośr</w:t>
      </w:r>
      <w:r>
        <w:rPr>
          <w:sz w:val="22"/>
          <w:szCs w:val="22"/>
        </w:rPr>
        <w:t>odkiem Kultury w Sławkowie już od 21</w:t>
      </w:r>
      <w:r w:rsidRPr="004C6500">
        <w:rPr>
          <w:sz w:val="22"/>
          <w:szCs w:val="22"/>
        </w:rPr>
        <w:t xml:space="preserve"> lat</w:t>
      </w:r>
      <w:r>
        <w:rPr>
          <w:sz w:val="22"/>
          <w:szCs w:val="22"/>
        </w:rPr>
        <w:t xml:space="preserve">. Od 2013 roku Biblioteka </w:t>
      </w:r>
      <w:r w:rsidRPr="004C6500">
        <w:rPr>
          <w:sz w:val="22"/>
          <w:szCs w:val="22"/>
        </w:rPr>
        <w:t>organizowała kurs języka angielskiego dla grupy integracyjnej „Razem łatwiej”, działającej przy MOK.</w:t>
      </w: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 2014 roku Biblioteka podjęła współpracę z grupą rodziców, którzy uczestniczyli w projekcie Inkubator Aktywnych Rodziców oraz z rodzicami biorącymi udział w spotkaniach z cyklu „Popołudnie z bajeczką”.</w:t>
      </w:r>
    </w:p>
    <w:p w:rsidR="008013F3" w:rsidRDefault="008013F3" w:rsidP="008013F3">
      <w:pPr>
        <w:spacing w:line="312" w:lineRule="auto"/>
        <w:jc w:val="both"/>
        <w:rPr>
          <w:sz w:val="22"/>
          <w:szCs w:val="22"/>
        </w:rPr>
      </w:pP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BiblioFerie</w:t>
      </w:r>
      <w:r w:rsidRPr="004C6500">
        <w:rPr>
          <w:sz w:val="22"/>
          <w:szCs w:val="22"/>
        </w:rPr>
        <w:t xml:space="preserve"> - cykl zajęć dla dzieci i młodzieży zorganizowane podczas ferii zimowych. Tematyka</w:t>
      </w:r>
      <w:r>
        <w:rPr>
          <w:sz w:val="22"/>
          <w:szCs w:val="22"/>
        </w:rPr>
        <w:t xml:space="preserve"> poszczególnych zajęć to m.in. „Coś dla Babci, coś dla Dziadka” – zajęcia plastyczne, „W krainie wiecznych lodów” – przygotowywanie zimowych deserów, „Zimowy misz-masz” - zabawy ruchowe z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chustą animacyjną Klanza (17.01</w:t>
      </w:r>
      <w:r w:rsidRPr="004C6500">
        <w:rPr>
          <w:sz w:val="22"/>
          <w:szCs w:val="22"/>
        </w:rPr>
        <w:t xml:space="preserve"> – </w:t>
      </w:r>
      <w:r>
        <w:rPr>
          <w:sz w:val="22"/>
          <w:szCs w:val="22"/>
        </w:rPr>
        <w:t>30.01</w:t>
      </w:r>
      <w:r w:rsidRPr="004C6500">
        <w:rPr>
          <w:sz w:val="22"/>
          <w:szCs w:val="22"/>
        </w:rPr>
        <w:t>)</w:t>
      </w:r>
    </w:p>
    <w:p w:rsidR="008013F3" w:rsidRDefault="008013F3" w:rsidP="006A4DBD">
      <w:pPr>
        <w:spacing w:line="312" w:lineRule="auto"/>
        <w:ind w:left="720" w:hanging="15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\</w:t>
      </w: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XXI</w:t>
      </w:r>
      <w:r w:rsidRPr="004C6500">
        <w:rPr>
          <w:sz w:val="22"/>
          <w:szCs w:val="22"/>
          <w:u w:val="single"/>
        </w:rPr>
        <w:t xml:space="preserve"> Regionalny Konkurs Recytatorski</w:t>
      </w:r>
      <w:r w:rsidRPr="004C6500">
        <w:rPr>
          <w:sz w:val="22"/>
          <w:szCs w:val="22"/>
        </w:rPr>
        <w:t xml:space="preserve"> dla uczniów szkół podstawowych i gimnazjalnych, zorganizowany we współpracy z Miejskim O</w:t>
      </w:r>
      <w:r>
        <w:rPr>
          <w:sz w:val="22"/>
          <w:szCs w:val="22"/>
        </w:rPr>
        <w:t>środkiem Kultury w Sławkowie (05</w:t>
      </w:r>
      <w:r w:rsidRPr="004C6500">
        <w:rPr>
          <w:sz w:val="22"/>
          <w:szCs w:val="22"/>
        </w:rPr>
        <w:t>.03)</w:t>
      </w:r>
    </w:p>
    <w:p w:rsidR="006A4DBD" w:rsidRPr="004C6500" w:rsidRDefault="006A4DBD" w:rsidP="006A4DBD">
      <w:pPr>
        <w:spacing w:line="312" w:lineRule="auto"/>
        <w:ind w:left="720" w:hanging="15"/>
        <w:jc w:val="both"/>
        <w:rPr>
          <w:sz w:val="22"/>
          <w:szCs w:val="22"/>
        </w:rPr>
      </w:pP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  <w:u w:val="single"/>
        </w:rPr>
        <w:t>„Noc z Andersenem”</w:t>
      </w:r>
      <w:r w:rsidRPr="004C6500">
        <w:rPr>
          <w:sz w:val="22"/>
          <w:szCs w:val="22"/>
        </w:rPr>
        <w:t xml:space="preserve"> – całonocna impreza dla uczniów klas trzecich Szkoły Podstawowej, zorganizowana z okazji Międzynarodowego Dnia Książki Dziecię</w:t>
      </w:r>
      <w:r>
        <w:rPr>
          <w:sz w:val="22"/>
          <w:szCs w:val="22"/>
        </w:rPr>
        <w:t>cej i urodzin J.C. Andersena (04/05</w:t>
      </w:r>
      <w:r w:rsidRPr="004C6500">
        <w:rPr>
          <w:sz w:val="22"/>
          <w:szCs w:val="22"/>
        </w:rPr>
        <w:t>.04)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  <w:u w:val="single"/>
        </w:rPr>
        <w:lastRenderedPageBreak/>
        <w:t>Obchody XII</w:t>
      </w:r>
      <w:r>
        <w:rPr>
          <w:sz w:val="22"/>
          <w:szCs w:val="22"/>
          <w:u w:val="single"/>
        </w:rPr>
        <w:t>I</w:t>
      </w:r>
      <w:r w:rsidRPr="004C6500">
        <w:rPr>
          <w:sz w:val="22"/>
          <w:szCs w:val="22"/>
          <w:u w:val="single"/>
        </w:rPr>
        <w:t xml:space="preserve"> Ogólnopolskiego Tygodnia Czytania Dzieciom</w:t>
      </w:r>
      <w:r w:rsidRPr="004C6500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Spotkanie z Elmerem - </w:t>
      </w:r>
      <w:r w:rsidRPr="004C6500">
        <w:rPr>
          <w:sz w:val="22"/>
          <w:szCs w:val="22"/>
        </w:rPr>
        <w:t>impreza dla przeds</w:t>
      </w:r>
      <w:r>
        <w:rPr>
          <w:sz w:val="22"/>
          <w:szCs w:val="22"/>
        </w:rPr>
        <w:t>zkolaków  (02</w:t>
      </w:r>
      <w:r w:rsidRPr="004C6500">
        <w:rPr>
          <w:sz w:val="22"/>
          <w:szCs w:val="22"/>
        </w:rPr>
        <w:t>.06)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„W ogrodzie sztuki</w:t>
      </w:r>
      <w:r w:rsidRPr="004C6500">
        <w:rPr>
          <w:sz w:val="22"/>
          <w:szCs w:val="22"/>
          <w:u w:val="single"/>
        </w:rPr>
        <w:t>”</w:t>
      </w:r>
      <w:r w:rsidRPr="004C6500">
        <w:rPr>
          <w:sz w:val="22"/>
          <w:szCs w:val="22"/>
        </w:rPr>
        <w:t xml:space="preserve"> – cykl zajęć dla dzieci w ramach akcji „Wakacje w Bibliotece”.</w:t>
      </w:r>
      <w:r w:rsidR="00C97456">
        <w:rPr>
          <w:sz w:val="22"/>
          <w:szCs w:val="22"/>
        </w:rPr>
        <w:t xml:space="preserve"> </w:t>
      </w:r>
      <w:r w:rsidRPr="004C6500">
        <w:rPr>
          <w:sz w:val="22"/>
          <w:szCs w:val="22"/>
        </w:rPr>
        <w:t>Spotkania odbywały się w każdą wakacyjną środę. W ramach zajęć mi</w:t>
      </w:r>
      <w:r>
        <w:rPr>
          <w:sz w:val="22"/>
          <w:szCs w:val="22"/>
        </w:rPr>
        <w:t xml:space="preserve">ały miejsce m. in.: tworzenie obrazów kubistycznych, ozdobnych opraw książek, wykonywanie magnesów i ozdób z gipsu, papierowy </w:t>
      </w:r>
      <w:r w:rsidR="00C97456">
        <w:rPr>
          <w:sz w:val="22"/>
          <w:szCs w:val="22"/>
        </w:rPr>
        <w:t xml:space="preserve">quisling </w:t>
      </w:r>
      <w:r w:rsidRPr="004C6500">
        <w:rPr>
          <w:sz w:val="22"/>
          <w:szCs w:val="22"/>
        </w:rPr>
        <w:t>itp.</w:t>
      </w:r>
    </w:p>
    <w:p w:rsidR="006A4DBD" w:rsidRPr="004C6500" w:rsidRDefault="006A4DBD" w:rsidP="006A4DBD">
      <w:pPr>
        <w:spacing w:line="312" w:lineRule="auto"/>
        <w:ind w:left="705"/>
        <w:jc w:val="both"/>
        <w:rPr>
          <w:sz w:val="22"/>
          <w:szCs w:val="22"/>
          <w:u w:val="single"/>
        </w:rPr>
      </w:pP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Obchody Międzynarodowego Dnia Postaci z Bajek</w:t>
      </w:r>
      <w:r w:rsidRPr="004C6500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tworzenie bajkowych kukiełek, połączone z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głośnym czytaniem bajek</w:t>
      </w:r>
      <w:r w:rsidRPr="004C6500">
        <w:rPr>
          <w:sz w:val="22"/>
          <w:szCs w:val="22"/>
        </w:rPr>
        <w:t xml:space="preserve"> (05.09)</w:t>
      </w:r>
    </w:p>
    <w:p w:rsidR="006A4DBD" w:rsidRPr="004C6500" w:rsidRDefault="006A4DBD" w:rsidP="006A4DBD">
      <w:pPr>
        <w:spacing w:line="312" w:lineRule="auto"/>
        <w:ind w:left="705"/>
        <w:jc w:val="both"/>
        <w:rPr>
          <w:sz w:val="22"/>
          <w:szCs w:val="22"/>
          <w:u w:val="single"/>
        </w:rPr>
      </w:pP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„Milutka w malachitowym borze”</w:t>
      </w:r>
      <w:r>
        <w:rPr>
          <w:sz w:val="22"/>
          <w:szCs w:val="22"/>
        </w:rPr>
        <w:t xml:space="preserve"> – interaktywny spektakl dla dzieci w wykonaniu Teatru TAK z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Krakowa (13.11</w:t>
      </w:r>
      <w:r w:rsidRPr="004C6500">
        <w:rPr>
          <w:sz w:val="22"/>
          <w:szCs w:val="22"/>
        </w:rPr>
        <w:t>)</w:t>
      </w:r>
    </w:p>
    <w:p w:rsidR="006A4DBD" w:rsidRDefault="006A4DBD" w:rsidP="006A4DBD">
      <w:pPr>
        <w:spacing w:line="312" w:lineRule="auto"/>
        <w:ind w:left="705"/>
        <w:jc w:val="both"/>
        <w:rPr>
          <w:sz w:val="22"/>
          <w:szCs w:val="22"/>
        </w:rPr>
      </w:pP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 w:rsidRPr="007A1323">
        <w:rPr>
          <w:sz w:val="22"/>
          <w:szCs w:val="22"/>
          <w:u w:val="single"/>
        </w:rPr>
        <w:t>„Popołudnie z bajeczką”</w:t>
      </w:r>
      <w:r>
        <w:rPr>
          <w:sz w:val="22"/>
          <w:szCs w:val="22"/>
        </w:rPr>
        <w:t xml:space="preserve"> – cykl spotkań czytelniczych dla dzieci od 0-5 lat (17.01, 20.03, 25.11)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Ponadto w Bib</w:t>
      </w:r>
      <w:r>
        <w:rPr>
          <w:sz w:val="22"/>
          <w:szCs w:val="22"/>
        </w:rPr>
        <w:t>liotece odbyły się:</w:t>
      </w: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dwie lekcje</w:t>
      </w:r>
      <w:r w:rsidRPr="004C6500">
        <w:rPr>
          <w:sz w:val="22"/>
          <w:szCs w:val="22"/>
        </w:rPr>
        <w:t xml:space="preserve"> biblioteczne dla uczniów LO im. Jana Pawła II w Sławkowie, podczas której przedstawiono prezentację multimedialną dotyczącą historii MBP w Sławkowie oraz prezentacj</w:t>
      </w:r>
      <w:r>
        <w:rPr>
          <w:sz w:val="22"/>
          <w:szCs w:val="22"/>
        </w:rPr>
        <w:t xml:space="preserve">ę pt. Biblioteki XXI wieku - </w:t>
      </w:r>
      <w:r w:rsidRPr="004C6500">
        <w:rPr>
          <w:sz w:val="22"/>
          <w:szCs w:val="22"/>
        </w:rPr>
        <w:t>przykłady najbardziej nowoczesnych i nietypowych bibliotek św</w:t>
      </w:r>
      <w:r>
        <w:rPr>
          <w:sz w:val="22"/>
          <w:szCs w:val="22"/>
        </w:rPr>
        <w:t>iata (02.12, 09.12),</w:t>
      </w: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sześć lekcji bibliotecznych dla przedszkolaków, których tematyka obejmowała zagadnienia dotyczące drogi książki od pisarza do czytelnika, baśni oraz budowy kosmosu,</w:t>
      </w: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spotkania i wizyty przedszkolaków, podczas których prezentowano książki ona wybrany temat, głośno</w:t>
      </w:r>
      <w:r w:rsidR="008013F3">
        <w:rPr>
          <w:sz w:val="22"/>
          <w:szCs w:val="22"/>
        </w:rPr>
        <w:t xml:space="preserve"> </w:t>
      </w:r>
      <w:r>
        <w:rPr>
          <w:sz w:val="22"/>
          <w:szCs w:val="22"/>
        </w:rPr>
        <w:t>czytano bajki i wierszyki. W 2014 roku odbyło się 14 spotkań tego typu.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</w:p>
    <w:p w:rsidR="006A4DBD" w:rsidRDefault="008013F3" w:rsidP="006A4DBD">
      <w:pPr>
        <w:spacing w:line="312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4.3 </w:t>
      </w:r>
      <w:r w:rsidR="006A4DBD" w:rsidRPr="00EF5599">
        <w:rPr>
          <w:b/>
          <w:sz w:val="22"/>
          <w:szCs w:val="22"/>
        </w:rPr>
        <w:t>Obsługa osób niepełnosprawnych i specjalnych grup użytkowników.</w:t>
      </w:r>
    </w:p>
    <w:p w:rsidR="006A4DBD" w:rsidRDefault="006A4DBD" w:rsidP="006A4DBD">
      <w:pPr>
        <w:spacing w:line="312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A4DBD" w:rsidRDefault="006A4DBD" w:rsidP="008013F3">
      <w:pPr>
        <w:spacing w:line="312" w:lineRule="auto"/>
        <w:ind w:firstLine="703"/>
        <w:jc w:val="both"/>
        <w:outlineLvl w:val="0"/>
        <w:rPr>
          <w:sz w:val="22"/>
          <w:szCs w:val="22"/>
        </w:rPr>
      </w:pPr>
      <w:r w:rsidRPr="0018148B">
        <w:rPr>
          <w:sz w:val="22"/>
          <w:szCs w:val="22"/>
        </w:rPr>
        <w:t>W 2014 roku Bibl</w:t>
      </w:r>
      <w:r>
        <w:rPr>
          <w:sz w:val="22"/>
          <w:szCs w:val="22"/>
        </w:rPr>
        <w:t>i</w:t>
      </w:r>
      <w:r w:rsidRPr="0018148B">
        <w:rPr>
          <w:sz w:val="22"/>
          <w:szCs w:val="22"/>
        </w:rPr>
        <w:t xml:space="preserve">oteka </w:t>
      </w:r>
      <w:r>
        <w:rPr>
          <w:sz w:val="22"/>
          <w:szCs w:val="22"/>
        </w:rPr>
        <w:t xml:space="preserve">podjęła następujące działania na rzecz osób niepełnosprawnych i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specjalnych grup użytkowników:</w:t>
      </w:r>
    </w:p>
    <w:p w:rsidR="006A4DBD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„</w:t>
      </w:r>
      <w:r w:rsidRPr="007A1323">
        <w:rPr>
          <w:b/>
          <w:sz w:val="22"/>
          <w:szCs w:val="22"/>
        </w:rPr>
        <w:t xml:space="preserve">O finansach… w bibliotece” </w:t>
      </w:r>
      <w:r w:rsidRPr="0018148B">
        <w:rPr>
          <w:sz w:val="22"/>
          <w:szCs w:val="22"/>
        </w:rPr>
        <w:t>to projekt edukacji ekonomicznej i finansowej skierowany do osób 50+, który był realizowany w sławkowskiej Bibliotece w</w:t>
      </w:r>
      <w:r w:rsidR="001750A3">
        <w:rPr>
          <w:sz w:val="22"/>
          <w:szCs w:val="22"/>
        </w:rPr>
        <w:t xml:space="preserve"> </w:t>
      </w:r>
      <w:r w:rsidRPr="0018148B">
        <w:rPr>
          <w:sz w:val="22"/>
          <w:szCs w:val="22"/>
        </w:rPr>
        <w:t>2014 roku. W ramach projektu odbyły się dwa cykle szkoleń (po 5 spotkań w czerwcu i lipcu), w których udział wzięło 21 osób. Seniorzy dowiedzieli się, jak racjonalnie gospodarować budżetem domowym, jak założyć konto intern</w:t>
      </w:r>
      <w:r>
        <w:rPr>
          <w:sz w:val="22"/>
          <w:szCs w:val="22"/>
        </w:rPr>
        <w:t>etowe i wybrać najkorzystniejszą ofertę bankową</w:t>
      </w:r>
      <w:r w:rsidRPr="0018148B">
        <w:rPr>
          <w:sz w:val="22"/>
          <w:szCs w:val="22"/>
        </w:rPr>
        <w:t xml:space="preserve"> lub polisę ubezpieczeniową. 22 lipca, w ramach projektu gościliśmy w Bibliotece przedstawicieli Narodowego Banku Polskiego. Pani Agnieszka Bigaj i Pan Bartosz Łuczywo opowiedzieli uczestnikom kursu o podstawowych zadaniach banku centralnego, o wpływie działalności NBP na codzienne życie obywateli oraz rozszerzyli naszą wiedzę o kursie walutowym, inflacji i stopach procentowych. Rozmowa toczyła się wokół tematów najbardziej dyskusyjnych czyli wprowadzania nowych zabezpieczeń polskich banknotów oraz korzyści i kosztów związanych z </w:t>
      </w:r>
      <w:r w:rsidR="00926900">
        <w:rPr>
          <w:sz w:val="22"/>
          <w:szCs w:val="22"/>
        </w:rPr>
        <w:t> </w:t>
      </w:r>
      <w:r w:rsidRPr="0018148B">
        <w:rPr>
          <w:sz w:val="22"/>
          <w:szCs w:val="22"/>
        </w:rPr>
        <w:t>przyjęciem euro w Polsce. 28 sierpnia odbyło się uroczyste zakończenie projektu i wręczenie certyfikatów jego uczestnikom.</w:t>
      </w:r>
    </w:p>
    <w:p w:rsidR="006A4DBD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18148B">
        <w:rPr>
          <w:b/>
          <w:sz w:val="22"/>
          <w:szCs w:val="22"/>
        </w:rPr>
        <w:t xml:space="preserve">„Do Internetu jeden krok” </w:t>
      </w:r>
      <w:r w:rsidRPr="001B5AF7">
        <w:rPr>
          <w:sz w:val="22"/>
          <w:szCs w:val="22"/>
        </w:rPr>
        <w:t>to warsztaty komputerowe dla osób 50+, zorganizowane w ramach projektu Latarnicy Polski Cyfrowej. Szkolenie przeprowadziły instruktorki Miejskiej i Powiatowej Biblioteki Publicznej w Zawierciu, Anna Gawrońska i Małgorzata Głąb (22.11, 29.11).</w:t>
      </w:r>
    </w:p>
    <w:p w:rsidR="006A4DBD" w:rsidRPr="004C6500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B5AF7">
        <w:rPr>
          <w:b/>
          <w:sz w:val="22"/>
          <w:szCs w:val="22"/>
        </w:rPr>
        <w:t>kurs języka angielskiego</w:t>
      </w:r>
      <w:r>
        <w:rPr>
          <w:sz w:val="22"/>
          <w:szCs w:val="22"/>
        </w:rPr>
        <w:t>, zorganizowany</w:t>
      </w:r>
      <w:r w:rsidRPr="004C6500">
        <w:rPr>
          <w:sz w:val="22"/>
          <w:szCs w:val="22"/>
        </w:rPr>
        <w:t xml:space="preserve"> dla grupy integracyjnej „Razem łatwiej”, działającej przy Miejskim Ośrodku Kultury w Sławkowie. Grupę tworzą osoby niepełnosprawne intelektualnie.  Spot</w:t>
      </w:r>
      <w:r>
        <w:rPr>
          <w:sz w:val="22"/>
          <w:szCs w:val="22"/>
        </w:rPr>
        <w:t>kania odbywały się raz w tygodniu i trwały</w:t>
      </w:r>
      <w:r w:rsidRPr="004C6500">
        <w:rPr>
          <w:sz w:val="22"/>
          <w:szCs w:val="22"/>
        </w:rPr>
        <w:t xml:space="preserve"> średnio dwie godziny zegarowe. Kurs  prowadzi</w:t>
      </w:r>
      <w:r>
        <w:rPr>
          <w:sz w:val="22"/>
          <w:szCs w:val="22"/>
        </w:rPr>
        <w:t>ł</w:t>
      </w:r>
      <w:r w:rsidRPr="004C6500">
        <w:rPr>
          <w:sz w:val="22"/>
          <w:szCs w:val="22"/>
        </w:rPr>
        <w:t xml:space="preserve"> doktorant Uniwersytetu</w:t>
      </w:r>
      <w:r>
        <w:rPr>
          <w:sz w:val="22"/>
          <w:szCs w:val="22"/>
        </w:rPr>
        <w:t xml:space="preserve"> Śląskiego, Pan Marcin Gliński, który ze względu na wzmożone obowiązki zawodowe zrezygnował z dalszego prowadzenia kursu. Jego uroczyste zakończenie odbyło się 22 </w:t>
      </w:r>
      <w:r w:rsidR="00926900">
        <w:rPr>
          <w:sz w:val="22"/>
          <w:szCs w:val="22"/>
        </w:rPr>
        <w:t> </w:t>
      </w:r>
      <w:r>
        <w:rPr>
          <w:sz w:val="22"/>
          <w:szCs w:val="22"/>
        </w:rPr>
        <w:t>września 2014r.</w:t>
      </w:r>
    </w:p>
    <w:p w:rsidR="006A4DBD" w:rsidRDefault="006A4DBD" w:rsidP="006A4DBD">
      <w:pPr>
        <w:spacing w:line="312" w:lineRule="auto"/>
        <w:ind w:left="540"/>
        <w:jc w:val="both"/>
        <w:rPr>
          <w:sz w:val="22"/>
          <w:szCs w:val="22"/>
        </w:rPr>
      </w:pPr>
    </w:p>
    <w:p w:rsidR="006A4DBD" w:rsidRPr="004C6500" w:rsidRDefault="006A4DBD" w:rsidP="008013F3">
      <w:pPr>
        <w:spacing w:line="312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W 2014</w:t>
      </w:r>
      <w:r w:rsidRPr="004C6500">
        <w:rPr>
          <w:sz w:val="22"/>
          <w:szCs w:val="22"/>
        </w:rPr>
        <w:t xml:space="preserve"> roku Biblioteka udzielała indywidualnego instruktażu w zakresie obsługi komputera dla czytelników, którzy zgłaszali taką potrzebę. Były to przeważne osoby bezrobotne, poszukujące pracy. Najczęściej powtarzająca się tematyka udzielanego instruktażu to</w:t>
      </w:r>
      <w:r>
        <w:rPr>
          <w:sz w:val="22"/>
          <w:szCs w:val="22"/>
        </w:rPr>
        <w:t>, wzorem lat ubiegłych</w:t>
      </w:r>
      <w:r w:rsidRPr="004C6500">
        <w:rPr>
          <w:sz w:val="22"/>
          <w:szCs w:val="22"/>
        </w:rPr>
        <w:t xml:space="preserve"> pisanie życiorysu, CV, listu motywacyjnego i innych dokumentów niezbędnych w ubieganiu się o pracę, zakładanie konta poczty elektronicznej i pomoc w wysyłaniu dokumentów pocztą elektroniczną, wyszukiwanie różnorodnych informacji przez Internet, nauka obsługi MC Word.</w:t>
      </w:r>
    </w:p>
    <w:p w:rsidR="006A4DBD" w:rsidRPr="004C6500" w:rsidRDefault="006A4DBD" w:rsidP="008013F3">
      <w:pPr>
        <w:spacing w:line="312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W 2014</w:t>
      </w:r>
      <w:r w:rsidRPr="004C6500">
        <w:rPr>
          <w:sz w:val="22"/>
          <w:szCs w:val="22"/>
        </w:rPr>
        <w:t xml:space="preserve"> roku kontynuowano usługę „Książka na telefon” oraz współpracę z Miejską                               i Powiatową Biblioteką Publiczną w Będzinie w zakresie wypożyczeń międzybibliotecznych książki mówionej. Dzięki życzliwości będzińskiej biblioteki sławkowscy czytelnicy mieli dostęp do tego typu publikacji (Biblioteka nie posiada środków na gromadzenie książki mó</w:t>
      </w:r>
      <w:r w:rsidR="00926900">
        <w:rPr>
          <w:sz w:val="22"/>
          <w:szCs w:val="22"/>
        </w:rPr>
        <w:t xml:space="preserve">wionej, audiobooków </w:t>
      </w:r>
      <w:r w:rsidRPr="004C6500">
        <w:rPr>
          <w:sz w:val="22"/>
          <w:szCs w:val="22"/>
        </w:rPr>
        <w:t xml:space="preserve">i </w:t>
      </w:r>
      <w:r w:rsidR="00926900">
        <w:rPr>
          <w:sz w:val="22"/>
          <w:szCs w:val="22"/>
        </w:rPr>
        <w:t> </w:t>
      </w:r>
      <w:r w:rsidRPr="004C6500">
        <w:rPr>
          <w:sz w:val="22"/>
          <w:szCs w:val="22"/>
        </w:rPr>
        <w:t>e-</w:t>
      </w:r>
      <w:r w:rsidR="00926900">
        <w:rPr>
          <w:sz w:val="22"/>
          <w:szCs w:val="22"/>
        </w:rPr>
        <w:t> </w:t>
      </w:r>
      <w:r w:rsidRPr="004C6500">
        <w:rPr>
          <w:sz w:val="22"/>
          <w:szCs w:val="22"/>
        </w:rPr>
        <w:t>booków). Z pow</w:t>
      </w:r>
      <w:r>
        <w:rPr>
          <w:sz w:val="22"/>
          <w:szCs w:val="22"/>
        </w:rPr>
        <w:t>yższej możliwości skorzystało 35 osób, którym udostępniono 51</w:t>
      </w:r>
      <w:r w:rsidRPr="004C6500">
        <w:rPr>
          <w:sz w:val="22"/>
          <w:szCs w:val="22"/>
        </w:rPr>
        <w:t>audiobooków.</w:t>
      </w:r>
    </w:p>
    <w:p w:rsidR="006A4DBD" w:rsidRPr="004C6500" w:rsidRDefault="006A4DBD" w:rsidP="006A4DBD">
      <w:pPr>
        <w:spacing w:line="312" w:lineRule="auto"/>
        <w:ind w:left="708"/>
        <w:jc w:val="both"/>
        <w:rPr>
          <w:sz w:val="22"/>
          <w:szCs w:val="22"/>
        </w:rPr>
      </w:pPr>
    </w:p>
    <w:p w:rsidR="006A4DBD" w:rsidRPr="004C6500" w:rsidRDefault="008013F3" w:rsidP="006A4DBD">
      <w:pPr>
        <w:spacing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6A4DBD" w:rsidRPr="004C6500">
        <w:rPr>
          <w:b/>
          <w:sz w:val="22"/>
          <w:szCs w:val="22"/>
        </w:rPr>
        <w:t>Sprawy kadrowe i sytuacja zawodowa bibliotekarzy.</w:t>
      </w:r>
    </w:p>
    <w:p w:rsidR="006A4DBD" w:rsidRPr="004C6500" w:rsidRDefault="006A4DBD" w:rsidP="006A4DBD">
      <w:pPr>
        <w:spacing w:line="312" w:lineRule="auto"/>
        <w:jc w:val="both"/>
        <w:rPr>
          <w:b/>
          <w:sz w:val="22"/>
          <w:szCs w:val="22"/>
        </w:rPr>
      </w:pPr>
    </w:p>
    <w:p w:rsidR="008013F3" w:rsidRDefault="006A4DBD" w:rsidP="006A4DBD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W 2014</w:t>
      </w:r>
      <w:r w:rsidRPr="004C6500">
        <w:rPr>
          <w:sz w:val="22"/>
          <w:szCs w:val="22"/>
        </w:rPr>
        <w:t xml:space="preserve"> roku w Miejskiej Bibliotece Publicznej w Sławkowie zatr</w:t>
      </w:r>
      <w:r w:rsidR="008013F3">
        <w:rPr>
          <w:sz w:val="22"/>
          <w:szCs w:val="22"/>
        </w:rPr>
        <w:t>udnionych było 7 osób, w tym na</w:t>
      </w:r>
    </w:p>
    <w:p w:rsidR="008013F3" w:rsidRDefault="006A4DBD" w:rsidP="00926900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 xml:space="preserve">stanowiskach działalności podstawowej 5 osób (cztery z wykształceniem wyższym bibliotekarskim, </w:t>
      </w:r>
    </w:p>
    <w:p w:rsidR="008013F3" w:rsidRDefault="006A4DBD" w:rsidP="006A4DBD">
      <w:pPr>
        <w:spacing w:line="312" w:lineRule="auto"/>
        <w:ind w:left="705" w:hanging="705"/>
        <w:jc w:val="both"/>
        <w:rPr>
          <w:sz w:val="22"/>
          <w:szCs w:val="22"/>
        </w:rPr>
      </w:pPr>
      <w:r w:rsidRPr="004C6500">
        <w:rPr>
          <w:sz w:val="22"/>
          <w:szCs w:val="22"/>
        </w:rPr>
        <w:t xml:space="preserve">jedna z wykształceniem średnim). Na stanowiska administracji i obsługi przypada 1 etat. </w:t>
      </w:r>
    </w:p>
    <w:p w:rsidR="008013F3" w:rsidRDefault="006A4DBD" w:rsidP="008013F3">
      <w:pPr>
        <w:spacing w:line="312" w:lineRule="auto"/>
        <w:ind w:left="705" w:hanging="705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Stan zatrudnienia pozostaje zatem niezmienny.</w:t>
      </w:r>
      <w:r w:rsidR="008013F3">
        <w:rPr>
          <w:sz w:val="22"/>
          <w:szCs w:val="22"/>
        </w:rPr>
        <w:t xml:space="preserve"> </w:t>
      </w:r>
      <w:r>
        <w:rPr>
          <w:sz w:val="22"/>
          <w:szCs w:val="22"/>
        </w:rPr>
        <w:t>Jeden pracownik ukończył</w:t>
      </w:r>
      <w:r w:rsidRPr="004C6500">
        <w:rPr>
          <w:sz w:val="22"/>
          <w:szCs w:val="22"/>
        </w:rPr>
        <w:t xml:space="preserve"> </w:t>
      </w:r>
      <w:r w:rsidR="008013F3">
        <w:rPr>
          <w:sz w:val="22"/>
          <w:szCs w:val="22"/>
        </w:rPr>
        <w:t>studia zaoczne na</w:t>
      </w:r>
    </w:p>
    <w:p w:rsidR="008013F3" w:rsidRDefault="008013F3" w:rsidP="008013F3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Uniwersytecie </w:t>
      </w:r>
      <w:r w:rsidR="006A4DBD" w:rsidRPr="004C6500">
        <w:rPr>
          <w:sz w:val="22"/>
          <w:szCs w:val="22"/>
        </w:rPr>
        <w:t>Pedagogicznym im. Komisji Edukacji Narodowej w Krakowie, kierunek Informac</w:t>
      </w:r>
      <w:r w:rsidR="006A4DBD">
        <w:rPr>
          <w:sz w:val="22"/>
          <w:szCs w:val="22"/>
        </w:rPr>
        <w:t xml:space="preserve">ja </w:t>
      </w:r>
    </w:p>
    <w:p w:rsidR="008013F3" w:rsidRPr="004C6500" w:rsidRDefault="006A4DBD" w:rsidP="008013F3">
      <w:pPr>
        <w:spacing w:line="312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Naukowa i Bibliotekoznawstwo (pracownik obsługi).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Pracownicy Biblioteki brali udział w następujących formach doskonalenia: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</w:p>
    <w:p w:rsidR="006A4DBD" w:rsidRPr="004C6500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 w:rsidRPr="004C6500">
        <w:rPr>
          <w:sz w:val="22"/>
          <w:szCs w:val="22"/>
          <w:u w:val="single"/>
        </w:rPr>
        <w:t>Szkolenia organizowane w ramach Programu Rozwoju Bibliotek</w:t>
      </w:r>
      <w:r w:rsidRPr="004C6500">
        <w:rPr>
          <w:sz w:val="22"/>
          <w:szCs w:val="22"/>
        </w:rPr>
        <w:t>:</w:t>
      </w:r>
    </w:p>
    <w:p w:rsidR="006A4DBD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 w:rsidRPr="004C6500">
        <w:rPr>
          <w:sz w:val="22"/>
          <w:szCs w:val="22"/>
        </w:rPr>
        <w:t>- Warsztaty planowania rozwo</w:t>
      </w:r>
      <w:r>
        <w:rPr>
          <w:sz w:val="22"/>
          <w:szCs w:val="22"/>
        </w:rPr>
        <w:t>ju biblioteki – cykl szkoleń (07-08.01, 03-04.02</w:t>
      </w:r>
      <w:r w:rsidRPr="004C6500">
        <w:rPr>
          <w:sz w:val="22"/>
          <w:szCs w:val="22"/>
        </w:rPr>
        <w:t>)</w:t>
      </w:r>
    </w:p>
    <w:p w:rsidR="008013F3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„O finansach w bibliotece” (24-26.03)</w:t>
      </w:r>
    </w:p>
    <w:p w:rsidR="006A4DBD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„Praca, rodzina, finanse. Biblioteka dla dorosłych” (07-09.04)</w:t>
      </w:r>
    </w:p>
    <w:p w:rsidR="006A4DBD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„Biblioteka – przestrzeń dla wszystkich” (27-29.05 ; 04-06.06)</w:t>
      </w:r>
    </w:p>
    <w:p w:rsidR="006A4DBD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Doradztwo dotyczące pozyskiwania środków zewnętrznych (05,06.08)</w:t>
      </w:r>
    </w:p>
    <w:p w:rsidR="006A4DBD" w:rsidRPr="004C6500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„Biblioteka – miejsce dla młodych ludzi” (11.08)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</w:p>
    <w:p w:rsidR="006A4DBD" w:rsidRPr="004C6500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 w:rsidRPr="004C6500">
        <w:rPr>
          <w:sz w:val="22"/>
          <w:szCs w:val="22"/>
          <w:u w:val="single"/>
        </w:rPr>
        <w:t>Szkolenia organizowane przez Bibliotekę Śląską</w:t>
      </w:r>
      <w:r w:rsidRPr="004C6500">
        <w:rPr>
          <w:sz w:val="22"/>
          <w:szCs w:val="22"/>
        </w:rPr>
        <w:t>:</w:t>
      </w:r>
    </w:p>
    <w:p w:rsidR="006A4DBD" w:rsidRPr="004C6500" w:rsidRDefault="006A4DBD" w:rsidP="006A4DBD">
      <w:pPr>
        <w:spacing w:line="312" w:lineRule="auto"/>
        <w:ind w:left="705" w:hanging="705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-</w:t>
      </w:r>
      <w:r>
        <w:rPr>
          <w:sz w:val="22"/>
          <w:szCs w:val="22"/>
        </w:rPr>
        <w:t xml:space="preserve"> „Metody aktywizujące w pracy z osobami niepełnosprawnymi” (07</w:t>
      </w:r>
      <w:r w:rsidRPr="004C6500">
        <w:rPr>
          <w:sz w:val="22"/>
          <w:szCs w:val="22"/>
        </w:rPr>
        <w:t>.02),</w:t>
      </w: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„Metody aktywizujące w świetlicy” (07.02</w:t>
      </w:r>
      <w:r w:rsidRPr="004C6500">
        <w:rPr>
          <w:sz w:val="22"/>
          <w:szCs w:val="22"/>
        </w:rPr>
        <w:t>)</w:t>
      </w: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Pozyskiwanie środków pozabudżetowych – programy grantowe MKiDN (11.04</w:t>
      </w:r>
      <w:r w:rsidRPr="004C6500">
        <w:rPr>
          <w:sz w:val="22"/>
          <w:szCs w:val="22"/>
        </w:rPr>
        <w:t>)</w:t>
      </w: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„Kontrola zarządcza w instytucjach kultury” (18.12)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  <w:u w:val="single"/>
        </w:rPr>
      </w:pPr>
    </w:p>
    <w:p w:rsidR="006A4DBD" w:rsidRPr="004C6500" w:rsidRDefault="006A4DBD" w:rsidP="008013F3">
      <w:pPr>
        <w:spacing w:line="312" w:lineRule="auto"/>
        <w:jc w:val="both"/>
        <w:outlineLvl w:val="0"/>
        <w:rPr>
          <w:sz w:val="22"/>
          <w:szCs w:val="22"/>
          <w:u w:val="single"/>
        </w:rPr>
      </w:pPr>
      <w:r w:rsidRPr="004C6500">
        <w:rPr>
          <w:sz w:val="22"/>
          <w:szCs w:val="22"/>
          <w:u w:val="single"/>
        </w:rPr>
        <w:t>Szkolenia organizowane przez Miejską i Powiatowa Bibliotekę Publiczną w Będzinie:</w:t>
      </w: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 w:rsidRPr="004C6500">
        <w:rPr>
          <w:sz w:val="22"/>
          <w:szCs w:val="22"/>
        </w:rPr>
        <w:t>- „</w:t>
      </w:r>
      <w:r>
        <w:rPr>
          <w:sz w:val="22"/>
          <w:szCs w:val="22"/>
        </w:rPr>
        <w:t>warsztaty fotograficzne” (06.02</w:t>
      </w:r>
      <w:r w:rsidRPr="004C6500">
        <w:rPr>
          <w:sz w:val="22"/>
          <w:szCs w:val="22"/>
        </w:rPr>
        <w:t>)</w:t>
      </w:r>
    </w:p>
    <w:p w:rsidR="006A4DBD" w:rsidRPr="004C6500" w:rsidRDefault="006A4DBD" w:rsidP="006A4DBD">
      <w:pPr>
        <w:spacing w:line="312" w:lineRule="auto"/>
        <w:ind w:left="705"/>
        <w:jc w:val="both"/>
        <w:rPr>
          <w:sz w:val="22"/>
          <w:szCs w:val="22"/>
        </w:rPr>
      </w:pPr>
    </w:p>
    <w:p w:rsidR="006A4DBD" w:rsidRDefault="006A4DBD" w:rsidP="008013F3">
      <w:pPr>
        <w:spacing w:line="312" w:lineRule="auto"/>
        <w:jc w:val="both"/>
        <w:outlineLvl w:val="0"/>
        <w:rPr>
          <w:sz w:val="22"/>
          <w:szCs w:val="22"/>
          <w:u w:val="single"/>
        </w:rPr>
      </w:pPr>
      <w:r w:rsidRPr="004C6500">
        <w:rPr>
          <w:sz w:val="22"/>
          <w:szCs w:val="22"/>
          <w:u w:val="single"/>
        </w:rPr>
        <w:t>Szkolenia organi</w:t>
      </w:r>
      <w:r>
        <w:rPr>
          <w:sz w:val="22"/>
          <w:szCs w:val="22"/>
          <w:u w:val="single"/>
        </w:rPr>
        <w:t>zowane przez Fundację Kultury Chrześcijańskiej „Znak”</w:t>
      </w:r>
      <w:r w:rsidRPr="004C6500">
        <w:rPr>
          <w:sz w:val="22"/>
          <w:szCs w:val="22"/>
          <w:u w:val="single"/>
        </w:rPr>
        <w:t>:</w:t>
      </w:r>
    </w:p>
    <w:p w:rsidR="006A4DBD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 w:rsidRPr="00D353CC">
        <w:rPr>
          <w:sz w:val="22"/>
          <w:szCs w:val="22"/>
        </w:rPr>
        <w:t xml:space="preserve">- </w:t>
      </w:r>
      <w:r>
        <w:rPr>
          <w:sz w:val="22"/>
          <w:szCs w:val="22"/>
        </w:rPr>
        <w:t>„Globalnie – Odpowiedzialnie” (03-05.11)</w:t>
      </w:r>
    </w:p>
    <w:p w:rsidR="006A4DBD" w:rsidRDefault="006A4DBD" w:rsidP="006A4DBD">
      <w:pPr>
        <w:spacing w:line="312" w:lineRule="auto"/>
        <w:ind w:left="705"/>
        <w:jc w:val="both"/>
        <w:outlineLvl w:val="0"/>
        <w:rPr>
          <w:sz w:val="22"/>
          <w:szCs w:val="22"/>
        </w:rPr>
      </w:pPr>
    </w:p>
    <w:p w:rsidR="006A4DBD" w:rsidRDefault="006A4DBD" w:rsidP="008013F3">
      <w:pPr>
        <w:spacing w:line="312" w:lineRule="auto"/>
        <w:jc w:val="both"/>
        <w:outlineLvl w:val="0"/>
        <w:rPr>
          <w:sz w:val="22"/>
          <w:szCs w:val="22"/>
          <w:u w:val="single"/>
        </w:rPr>
      </w:pPr>
      <w:r w:rsidRPr="004C6500">
        <w:rPr>
          <w:sz w:val="22"/>
          <w:szCs w:val="22"/>
          <w:u w:val="single"/>
        </w:rPr>
        <w:t>Szkolenia organi</w:t>
      </w:r>
      <w:r>
        <w:rPr>
          <w:sz w:val="22"/>
          <w:szCs w:val="22"/>
          <w:u w:val="single"/>
        </w:rPr>
        <w:t>zowane przez Fundację Obywatelska Perspektywa</w:t>
      </w:r>
      <w:r w:rsidRPr="004C6500">
        <w:rPr>
          <w:sz w:val="22"/>
          <w:szCs w:val="22"/>
          <w:u w:val="single"/>
        </w:rPr>
        <w:t>:</w:t>
      </w:r>
    </w:p>
    <w:p w:rsidR="006A4DBD" w:rsidRPr="00A14C98" w:rsidRDefault="006A4DBD" w:rsidP="008013F3">
      <w:pPr>
        <w:spacing w:line="312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- warsztaty kompetencji międzykulturowych –zajęcia edukacyjne w ramach projektu „Miedzy nami sąsiadami – działania na rzecz imigrantów” (27.11)</w:t>
      </w:r>
    </w:p>
    <w:p w:rsidR="006A4DBD" w:rsidRPr="004C6500" w:rsidRDefault="006A4DBD" w:rsidP="006A4DBD">
      <w:pPr>
        <w:spacing w:line="312" w:lineRule="auto"/>
        <w:jc w:val="both"/>
        <w:rPr>
          <w:sz w:val="22"/>
          <w:szCs w:val="22"/>
        </w:rPr>
      </w:pPr>
    </w:p>
    <w:p w:rsidR="006A4DBD" w:rsidRPr="004C6500" w:rsidRDefault="006A4DBD" w:rsidP="008013F3">
      <w:pPr>
        <w:spacing w:line="312" w:lineRule="auto"/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Szkolenia organizowane przez Urząd Miasta w</w:t>
      </w:r>
      <w:r w:rsidRPr="004C6500">
        <w:rPr>
          <w:sz w:val="22"/>
          <w:szCs w:val="22"/>
          <w:u w:val="single"/>
        </w:rPr>
        <w:t xml:space="preserve"> Sławkowie:</w:t>
      </w: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obsługa systemu informacji prawnej LEX (17.04)</w:t>
      </w:r>
    </w:p>
    <w:p w:rsidR="006A4DBD" w:rsidRDefault="006A4DBD" w:rsidP="006A4DBD">
      <w:pPr>
        <w:spacing w:line="312" w:lineRule="auto"/>
        <w:ind w:left="708"/>
        <w:jc w:val="both"/>
        <w:rPr>
          <w:sz w:val="22"/>
          <w:szCs w:val="22"/>
        </w:rPr>
      </w:pPr>
    </w:p>
    <w:p w:rsidR="006A4DBD" w:rsidRPr="00D353CC" w:rsidRDefault="006A4DBD" w:rsidP="008013F3">
      <w:pPr>
        <w:spacing w:line="312" w:lineRule="auto"/>
        <w:jc w:val="both"/>
        <w:rPr>
          <w:sz w:val="22"/>
          <w:szCs w:val="22"/>
          <w:u w:val="single"/>
        </w:rPr>
      </w:pPr>
      <w:r w:rsidRPr="00D353CC">
        <w:rPr>
          <w:sz w:val="22"/>
          <w:szCs w:val="22"/>
          <w:u w:val="single"/>
        </w:rPr>
        <w:t>Ponadto pracownicy Biblioteki wzięli udział w:</w:t>
      </w: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Konferencji dyrektorów bibliotek publicznych woj. Śląskiego (25.04) organizowana przez Bibliotekę Śląską.</w:t>
      </w: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Wojewódzkim Dniu Bibliotekarza i Bibliotek, organizowanym przez Bibliotekę Śląską (30.05)</w:t>
      </w: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Spotkaniu bibliotek województwa śląskiego i małopolskiego, biorących udział w projekcie „O finansach… w bibliotece” – III edycja (30.06)</w:t>
      </w: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V Ogólnopolskim Kongresie Bibliotek Publicznych w Warszawie (20-21.10)</w:t>
      </w: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seminarium podsumowującym III edycję projektu „O finansach… w bibliotece” (04-05.11)</w:t>
      </w:r>
    </w:p>
    <w:p w:rsidR="006A4DBD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X Forum Bibliotek Samorządowych w Będzinie (13.11)</w:t>
      </w:r>
    </w:p>
    <w:p w:rsidR="006A4DBD" w:rsidRPr="004C6500" w:rsidRDefault="006A4DBD" w:rsidP="008013F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- obchodach jubileuszu 65-lecia Biblioteki Publicznej w Koziegłowach (16.12)</w:t>
      </w:r>
    </w:p>
    <w:p w:rsidR="006A4DBD" w:rsidRDefault="006A4DBD" w:rsidP="006A4DBD">
      <w:pPr>
        <w:spacing w:line="312" w:lineRule="auto"/>
        <w:rPr>
          <w:sz w:val="22"/>
          <w:szCs w:val="22"/>
        </w:rPr>
      </w:pPr>
    </w:p>
    <w:p w:rsidR="008013F3" w:rsidRPr="004C6500" w:rsidRDefault="008013F3" w:rsidP="006A4DBD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Sporządziła: Agnieszka Wąs – Dyrektor MBP w Sławkowie</w:t>
      </w:r>
    </w:p>
    <w:p w:rsidR="006A4DBD" w:rsidRPr="004C6500" w:rsidRDefault="006A4DBD" w:rsidP="006A4DBD">
      <w:pPr>
        <w:spacing w:line="312" w:lineRule="auto"/>
        <w:rPr>
          <w:sz w:val="22"/>
          <w:szCs w:val="22"/>
        </w:rPr>
      </w:pPr>
    </w:p>
    <w:p w:rsidR="004B5FCF" w:rsidRDefault="004B5FCF"/>
    <w:sectPr w:rsidR="004B5FCF" w:rsidSect="00067D39">
      <w:footerReference w:type="defaul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4D4" w:rsidRDefault="003934D4" w:rsidP="00067D39">
      <w:r>
        <w:separator/>
      </w:r>
    </w:p>
  </w:endnote>
  <w:endnote w:type="continuationSeparator" w:id="0">
    <w:p w:rsidR="003934D4" w:rsidRDefault="003934D4" w:rsidP="0006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0157"/>
      <w:docPartObj>
        <w:docPartGallery w:val="Page Numbers (Bottom of Page)"/>
        <w:docPartUnique/>
      </w:docPartObj>
    </w:sdtPr>
    <w:sdtEndPr/>
    <w:sdtContent>
      <w:p w:rsidR="00067D39" w:rsidRDefault="00FF2D1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D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D39" w:rsidRDefault="00067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4D4" w:rsidRDefault="003934D4" w:rsidP="00067D39">
      <w:r>
        <w:separator/>
      </w:r>
    </w:p>
  </w:footnote>
  <w:footnote w:type="continuationSeparator" w:id="0">
    <w:p w:rsidR="003934D4" w:rsidRDefault="003934D4" w:rsidP="00067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55CFD"/>
    <w:multiLevelType w:val="hybridMultilevel"/>
    <w:tmpl w:val="FA2619D0"/>
    <w:lvl w:ilvl="0" w:tplc="C038E04A">
      <w:start w:val="3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F243DD"/>
    <w:multiLevelType w:val="multilevel"/>
    <w:tmpl w:val="806A0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BD"/>
    <w:rsid w:val="00067D39"/>
    <w:rsid w:val="001750A3"/>
    <w:rsid w:val="003934D4"/>
    <w:rsid w:val="004B5FCF"/>
    <w:rsid w:val="005C63C9"/>
    <w:rsid w:val="006A4DBD"/>
    <w:rsid w:val="00733D53"/>
    <w:rsid w:val="008013F3"/>
    <w:rsid w:val="00926900"/>
    <w:rsid w:val="00AC2DDA"/>
    <w:rsid w:val="00B10F6D"/>
    <w:rsid w:val="00C97456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18CD2-8190-4F5F-963B-2374953D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6A4DB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6A4DBD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table" w:styleId="Tabela-Siatka">
    <w:name w:val="Table Grid"/>
    <w:basedOn w:val="Standardowy"/>
    <w:rsid w:val="006A4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4D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4DB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A4DB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D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DB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67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7D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7D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D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bp.slawkow.pl/projek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/>
              <a:t>Struktura</a:t>
            </a:r>
            <a:r>
              <a:rPr lang="pl-PL" baseline="0"/>
              <a:t> księgozbioru</a:t>
            </a:r>
            <a:endParaRPr 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28464419475655428"/>
          <c:y val="0.2768361581920904"/>
          <c:w val="0.19662921348314613"/>
          <c:h val="0.59322033898305049"/>
        </c:manualLayout>
      </c:layout>
      <c:pieChart>
        <c:varyColors val="1"/>
        <c:ser>
          <c:idx val="1"/>
          <c:order val="0"/>
          <c:tx>
            <c:strRef>
              <c:f>Sheet1!$A$3</c:f>
              <c:strCache>
                <c:ptCount val="1"/>
                <c:pt idx="0">
                  <c:v>Zach.</c:v>
                </c:pt>
              </c:strCache>
            </c:strRef>
          </c:tx>
          <c:spPr>
            <a:solidFill>
              <a:srgbClr val="993366"/>
            </a:solidFill>
            <a:ln w="1342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chemeClr val="bg1"/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chemeClr val="bg1">
                  <a:lumMod val="65000"/>
                </a:schemeClr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Sheet1!$B$1:$D$1</c:f>
              <c:strCache>
                <c:ptCount val="3"/>
                <c:pt idx="0">
                  <c:v>Literatura piękna dla dzieci i młodzieży</c:v>
                </c:pt>
                <c:pt idx="1">
                  <c:v>Literatura piękna dla dorosłych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23</c:v>
                </c:pt>
                <c:pt idx="1">
                  <c:v>49</c:v>
                </c:pt>
                <c:pt idx="2">
                  <c:v>28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Płn.</c:v>
                </c:pt>
              </c:strCache>
            </c:strRef>
          </c:tx>
          <c:spPr>
            <a:solidFill>
              <a:srgbClr val="FFFFCC"/>
            </a:solidFill>
            <a:ln w="1342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3422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Literatura piękna dla dzieci i młodzieży</c:v>
                </c:pt>
                <c:pt idx="1">
                  <c:v>Literatura piękna dla dorosłych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23</c:v>
                </c:pt>
                <c:pt idx="1">
                  <c:v>49</c:v>
                </c:pt>
                <c:pt idx="2">
                  <c:v>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4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Wypożyczenia księgozbioru w 2014 roku</a:t>
            </a:r>
          </a:p>
        </c:rich>
      </c:tx>
      <c:layout>
        <c:manualLayout>
          <c:xMode val="edge"/>
          <c:yMode val="edge"/>
          <c:x val="0.27659574468085107"/>
          <c:y val="1.8518518518518535E-2"/>
        </c:manualLayout>
      </c:layout>
      <c:overlay val="0"/>
      <c:spPr>
        <a:noFill/>
        <a:ln w="2684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4893617021276612"/>
          <c:y val="0.25308641975308671"/>
          <c:w val="0.21702127659574474"/>
          <c:h val="0.6296296296296306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342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chemeClr val="bg1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Sheet1!$B$1:$D$1</c:f>
              <c:strCache>
                <c:ptCount val="3"/>
                <c:pt idx="0">
                  <c:v>Literatura piękna dla dorosłych </c:v>
                </c:pt>
                <c:pt idx="1">
                  <c:v>Literatura piękna dla dzieci i młodzieży 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62</c:v>
                </c:pt>
                <c:pt idx="1">
                  <c:v>20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Zach.</c:v>
                </c:pt>
              </c:strCache>
            </c:strRef>
          </c:tx>
          <c:spPr>
            <a:solidFill>
              <a:srgbClr val="993366"/>
            </a:solidFill>
            <a:ln w="1342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Literatura piękna dla dorosłych </c:v>
                </c:pt>
                <c:pt idx="1">
                  <c:v>Literatura piękna dla dzieci i młodzieży 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Płn.</c:v>
                </c:pt>
              </c:strCache>
            </c:strRef>
          </c:tx>
          <c:spPr>
            <a:solidFill>
              <a:srgbClr val="FFFFCC"/>
            </a:solidFill>
            <a:ln w="1342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342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Literatura piękna dla dorosłych </c:v>
                </c:pt>
                <c:pt idx="1">
                  <c:v>Literatura piękna dla dzieci i młodzieży </c:v>
                </c:pt>
                <c:pt idx="2">
                  <c:v>Literatura popularnonaukowa 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solidFill>
          <a:srgbClr val="FFFFFF"/>
        </a:solidFill>
        <a:ln w="26840">
          <a:noFill/>
        </a:ln>
      </c:spPr>
    </c:plotArea>
    <c:legend>
      <c:legendPos val="r"/>
      <c:layout>
        <c:manualLayout>
          <c:xMode val="edge"/>
          <c:yMode val="edge"/>
          <c:x val="0.66595744680851177"/>
          <c:y val="0.27160493827160492"/>
          <c:w val="0.32978723404255345"/>
          <c:h val="0.61728395061728392"/>
        </c:manualLayout>
      </c:layout>
      <c:overlay val="0"/>
      <c:spPr>
        <a:noFill/>
        <a:ln w="3355">
          <a:solidFill>
            <a:srgbClr val="000000"/>
          </a:solidFill>
          <a:prstDash val="solid"/>
        </a:ln>
      </c:spPr>
      <c:txPr>
        <a:bodyPr/>
        <a:lstStyle/>
        <a:p>
          <a:pPr>
            <a:defRPr sz="777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4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2969</Words>
  <Characters>17815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MBP SŁAWKÓW</Company>
  <LinksUpToDate>false</LinksUpToDate>
  <CharactersWithSpaces>20743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 SŁAWKÓW</dc:creator>
  <cp:keywords/>
  <dc:description/>
  <cp:lastModifiedBy>agnieszkawas</cp:lastModifiedBy>
  <cp:revision>2</cp:revision>
  <dcterms:created xsi:type="dcterms:W3CDTF">2016-04-18T08:37:00Z</dcterms:created>
  <dcterms:modified xsi:type="dcterms:W3CDTF">2016-04-18T08:37:00Z</dcterms:modified>
</cp:coreProperties>
</file>